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兰州市城市轨道交通第二期建设规划</w:t>
      </w:r>
    </w:p>
    <w:p>
      <w:pPr>
        <w:spacing w:line="800" w:lineRule="exact"/>
        <w:jc w:val="center"/>
        <w:rPr>
          <w:rFonts w:hint="eastAsia" w:ascii="方正仿宋_GBK" w:hAnsi="方正仿宋_GBK" w:eastAsia="方正仿宋_GBK" w:cs="方正仿宋_GBK"/>
          <w:color w:val="000000" w:themeColor="text1"/>
          <w:sz w:val="44"/>
          <w:szCs w:val="44"/>
          <w:lang w:val="en-US"/>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投融资方案研究报告</w:t>
      </w:r>
    </w:p>
    <w:p>
      <w:pPr>
        <w:spacing w:line="360" w:lineRule="auto"/>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比</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选</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邀</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请</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文</w:t>
      </w:r>
    </w:p>
    <w:p>
      <w:pPr>
        <w:spacing w:line="520" w:lineRule="exact"/>
        <w:jc w:val="center"/>
        <w:rPr>
          <w:rFonts w:hint="eastAsia" w:ascii="方正仿宋_GBK" w:hAnsi="方正仿宋_GBK" w:eastAsia="方正仿宋_GBK" w:cs="方正仿宋_GBK"/>
          <w:b/>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件</w:t>
      </w: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pStyle w:val="8"/>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spacing w:line="560" w:lineRule="exact"/>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比选人：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重庆市轨道交通设计研究院有限责任公司</w:t>
      </w:r>
    </w:p>
    <w:p>
      <w:pPr>
        <w:spacing w:line="560" w:lineRule="exact"/>
        <w:rPr>
          <w:rFonts w:hint="default" w:ascii="方正仿宋_GBK" w:hAnsi="方正仿宋_GBK" w:eastAsia="方正仿宋_GBK" w:cs="方正仿宋_GBK"/>
          <w:color w:val="000000" w:themeColor="text1"/>
          <w:sz w:val="32"/>
          <w:szCs w:val="32"/>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日  期：</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2023 年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月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24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日</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br w:type="page"/>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t>目 录</w:t>
      </w:r>
    </w:p>
    <w:p>
      <w:pPr>
        <w:spacing w:line="520" w:lineRule="exact"/>
        <w:jc w:val="center"/>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z w:val="32"/>
          <w:szCs w:val="32"/>
          <w14:textFill>
            <w14:solidFill>
              <w14:schemeClr w14:val="tx1"/>
            </w14:solidFill>
          </w14:textFill>
        </w:rPr>
      </w:pP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begin"/>
      </w:r>
      <w:r>
        <w:rPr>
          <w:rFonts w:hint="eastAsia" w:ascii="方正仿宋_GBK" w:hAnsi="方正仿宋_GBK" w:eastAsia="方正仿宋_GBK" w:cs="方正仿宋_GBK"/>
          <w:b/>
          <w:color w:val="000000" w:themeColor="text1"/>
          <w:sz w:val="32"/>
          <w:szCs w:val="32"/>
          <w14:textFill>
            <w14:solidFill>
              <w14:schemeClr w14:val="tx1"/>
            </w14:solidFill>
          </w14:textFill>
        </w:rPr>
        <w:instrText xml:space="preserve">TOC \o "1-3" \h \z \u</w:instrText>
      </w: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"_Toc19162"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color w:val="000000" w:themeColor="text1"/>
          <w:kern w:val="44"/>
          <w14:textFill>
            <w14:solidFill>
              <w14:schemeClr w14:val="tx1"/>
            </w14:solidFill>
          </w14:textFill>
        </w:rPr>
        <w:t>一、 项目概况</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_Toc19162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- 1 -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二、 参选文件组成及要求</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_Toc2393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- 2 -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"_Toc14452"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三、 比选邀请文件的获取</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_Toc14452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"_Toc18634"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四、 参选文件的递交</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_Toc18634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"_Toc26247"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五、 评审方法</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_Toc26247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"_Toc27141"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六、 其它相关说明</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_Toc27141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4"/>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"_Toc11924"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七、 附件</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_Toc11924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- 7 -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spacing w:line="480" w:lineRule="auto"/>
        <w:jc w:val="center"/>
        <w:rPr>
          <w:rFonts w:hint="eastAsia" w:ascii="方正仿宋_GBK" w:hAnsi="方正仿宋_GBK" w:eastAsia="方正仿宋_GBK" w:cs="方正仿宋_GBK"/>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000000" w:themeColor="text1"/>
          <w:kern w:val="44"/>
          <w:sz w:val="28"/>
          <w:szCs w:val="28"/>
          <w14:textFill>
            <w14:solidFill>
              <w14:schemeClr w14:val="tx1"/>
            </w14:solidFill>
          </w14:textFill>
        </w:rPr>
      </w:pPr>
      <w:bookmarkStart w:id="0" w:name="_Toc19162"/>
      <w:bookmarkStart w:id="1" w:name="_Toc8907"/>
      <w:bookmarkStart w:id="2" w:name="_Toc11320"/>
      <w:bookmarkStart w:id="3" w:name="_Toc519237221"/>
      <w:bookmarkStart w:id="4" w:name="_Toc23091"/>
      <w:r>
        <w:rPr>
          <w:rFonts w:hint="eastAsia" w:ascii="方正仿宋_GBK" w:hAnsi="方正仿宋_GBK" w:eastAsia="方正仿宋_GBK" w:cs="方正仿宋_GBK"/>
          <w:b/>
          <w:bCs/>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（一）项目名称：</w:t>
      </w:r>
      <w:bookmarkStart w:id="5" w:name="_Hlk39605495"/>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投融资方案研究</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bookmarkEnd w:id="5"/>
    </w:p>
    <w:p>
      <w:pPr>
        <w:adjustRightInd w:val="0"/>
        <w:snapToGrid w:val="0"/>
        <w:spacing w:line="560" w:lineRule="exact"/>
        <w:ind w:firstLine="560" w:firstLineChars="200"/>
        <w:rPr>
          <w:rFonts w:hint="eastAsia" w:ascii="方正仿宋_GBK" w:hAnsi="方正仿宋_GBK" w:eastAsia="方正仿宋_GBK" w:cs="方正仿宋_GBK"/>
          <w:highlight w:val="yellow"/>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项目概况：为贯彻落实</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w:t>
      </w:r>
      <w:r>
        <w:rPr>
          <w:rFonts w:hint="eastAsia" w:ascii="方正仿宋_GBK" w:hAnsi="方正仿宋_GBK" w:eastAsia="方正仿宋_GBK" w:cs="方正仿宋_GBK"/>
          <w:color w:val="000000" w:themeColor="text1"/>
          <w:sz w:val="28"/>
          <w:szCs w:val="28"/>
          <w14:textFill>
            <w14:solidFill>
              <w14:schemeClr w14:val="tx1"/>
            </w14:solidFill>
          </w14:textFill>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共5条线，远景年形成2条骨干线+4条中运量辅助线+1条市域快线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，共7</w:t>
      </w:r>
      <w:r>
        <w:rPr>
          <w:rFonts w:hint="eastAsia" w:ascii="方正仿宋_GBK" w:hAnsi="方正仿宋_GBK" w:eastAsia="方正仿宋_GBK" w:cs="方正仿宋_GBK"/>
          <w:color w:val="000000" w:themeColor="text1"/>
          <w:sz w:val="28"/>
          <w:szCs w:val="28"/>
          <w14:textFill>
            <w14:solidFill>
              <w14:schemeClr w14:val="tx1"/>
            </w14:solidFill>
          </w14:textFill>
        </w:rPr>
        <w:t>条线。结合国土空间规划重点发展区域，</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兰州市发展和改革委员会已</w:t>
      </w:r>
      <w:r>
        <w:rPr>
          <w:rFonts w:hint="eastAsia" w:ascii="方正仿宋_GBK" w:hAnsi="方正仿宋_GBK" w:eastAsia="方正仿宋_GBK" w:cs="方正仿宋_GBK"/>
          <w:color w:val="000000" w:themeColor="text1"/>
          <w:sz w:val="28"/>
          <w:szCs w:val="28"/>
          <w14:textFill>
            <w14:solidFill>
              <w14:schemeClr w14:val="tx1"/>
            </w14:solidFill>
          </w14:textFill>
        </w:rPr>
        <w:t>启动兰州市城市轨道交通第二期建设规划编制工作，力争尽早形成具备上报国家审批条件的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“1个主报告+12项支持性专题报告+2个线路预可研”等成套成果资料，为线路后续建设奠定基础</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兰</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投融资方案研究</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r>
        <w:rPr>
          <w:rFonts w:hint="eastAsia" w:ascii="方正仿宋_GBK" w:hAnsi="方正仿宋_GBK" w:eastAsia="方正仿宋_GBK" w:cs="方正仿宋_GBK"/>
          <w:sz w:val="28"/>
          <w:szCs w:val="28"/>
          <w:highlight w:val="none"/>
          <w:lang w:val="en-US" w:eastAsia="zh-CN"/>
        </w:rPr>
        <w:t>是“</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12项支持性专题报告</w:t>
      </w:r>
      <w:r>
        <w:rPr>
          <w:rFonts w:hint="eastAsia" w:ascii="方正仿宋_GBK" w:hAnsi="方正仿宋_GBK" w:eastAsia="方正仿宋_GBK" w:cs="方正仿宋_GBK"/>
          <w:sz w:val="28"/>
          <w:szCs w:val="28"/>
          <w:highlight w:val="none"/>
          <w:lang w:val="en-US" w:eastAsia="zh-CN"/>
        </w:rPr>
        <w:t>”之一，本次报告以兰州市城市轨道交通第二期建设规划建设项目为基础，对第二期建设项目投融资方案进行研究。</w:t>
      </w:r>
    </w:p>
    <w:p>
      <w:pPr>
        <w:adjustRightInd w:val="0"/>
        <w:snapToGrid w:val="0"/>
        <w:spacing w:line="56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1、具备独立法人资格。</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具备工程咨询单位专业甲级资信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复印件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加盖公章）</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3、必须遵守国家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法律法规</w:t>
      </w:r>
      <w:r>
        <w:rPr>
          <w:rFonts w:hint="eastAsia" w:ascii="方正仿宋_GBK" w:hAnsi="方正仿宋_GBK" w:eastAsia="方正仿宋_GBK" w:cs="方正仿宋_GBK"/>
          <w:color w:val="000000" w:themeColor="text1"/>
          <w:sz w:val="28"/>
          <w:szCs w:val="28"/>
          <w14:textFill>
            <w14:solidFill>
              <w14:schemeClr w14:val="tx1"/>
            </w14:solidFill>
          </w14:textFill>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、配置的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 w:name="_Toc9723"/>
      <w:bookmarkStart w:id="7" w:name="_Toc519237222"/>
      <w:r>
        <w:rPr>
          <w:rFonts w:hint="eastAsia" w:ascii="方正仿宋_GBK" w:hAnsi="方正仿宋_GBK" w:eastAsia="方正仿宋_GBK" w:cs="方正仿宋_GBK"/>
          <w:color w:val="000000" w:themeColor="text1"/>
          <w:sz w:val="28"/>
          <w:szCs w:val="28"/>
          <w14:textFill>
            <w14:solidFill>
              <w14:schemeClr w14:val="tx1"/>
            </w14:solidFill>
          </w14:textFill>
        </w:rPr>
        <w:t>（四）委托内容及要求</w:t>
      </w:r>
      <w:bookmarkEnd w:id="6"/>
    </w:p>
    <w:bookmarkEnd w:id="7"/>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bookmarkStart w:id="8" w:name="_Toc2160"/>
      <w:bookmarkStart w:id="9" w:name="_Toc2556"/>
      <w:bookmarkStart w:id="10" w:name="_Toc2393"/>
      <w:bookmarkStart w:id="11" w:name="_Toc30559"/>
      <w:bookmarkStart w:id="12" w:name="_Toc519237223"/>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依据相关规程规范及建设业主要求，结合兰州市城市轨道交通第二期建设规划方案编制《兰州市城市轨道交通第二期建设规划投融资方案研究报告》，报告应包含但不限于梳理国家现行政策提出可供选择的投融资方案，通过调研兰州市实际情况进一步对第二规划建设进行投融资专题研究，合理编制资金筹措方案及建设投资计划，通过财务测算编制财政收支预算平衡表，分析建设、运营全生命周期内的风险，全面考量政府的资金保障能力，确保政府财力可支撑和企业财务的可持续性等。报告编制内容及深度应满足建设规划主报告及线路预可行性研究报告编制要求；报告质量需满足国家、甘肃省及兰州市对城市轨道交通建设规划审批的现行要求，并通过相关审查。同时配合完成兰州市城市轨道交通第二期建设规划的编制及审批工作。</w:t>
      </w:r>
    </w:p>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二、参选文件组成及要求</w:t>
      </w:r>
      <w:bookmarkEnd w:id="8"/>
      <w:bookmarkEnd w:id="9"/>
      <w:bookmarkEnd w:id="10"/>
      <w:bookmarkEnd w:id="11"/>
      <w:bookmarkEnd w:id="12"/>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（一）商务部分（1份）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2、公司基本信息表（格式参见附件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具备工程咨询单位专业甲级资信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（复印件加盖公章）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（1）企业业绩汇总表（格式参见附件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（2）拟投入本项目</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人员汇总表（格式参见附件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（3）拟投入本项目项目负责人简历表（格式参见附件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（二）技术部分（1份）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（三）报价部分/报价书（1份）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FF0000"/>
          <w:sz w:val="28"/>
          <w:szCs w:val="28"/>
          <w:highlight w:val="none"/>
        </w:rPr>
      </w:pPr>
      <w:bookmarkStart w:id="13" w:name="_Toc519237224"/>
      <w:bookmarkStart w:id="14" w:name="_Toc14452"/>
      <w:bookmarkStart w:id="15" w:name="_Toc17961"/>
      <w:bookmarkStart w:id="16" w:name="_Toc28424"/>
      <w:bookmarkStart w:id="17" w:name="_Toc26449"/>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此报价应为全部费用的价格，即含税包干价。</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包括但不限于完成全部工作所需的报告编制费、后期服务费、研究费、资料费、交通费、食宿费、通讯费、评审费用（含专家、会务等一切费用）、管理费、税金等全部费用</w:t>
      </w:r>
      <w:r>
        <w:rPr>
          <w:rFonts w:hint="eastAsia" w:ascii="方正仿宋_GBK" w:hAnsi="方正仿宋_GBK" w:eastAsia="方正仿宋_GBK" w:cs="方正仿宋_GBK"/>
          <w:color w:val="auto"/>
          <w:sz w:val="28"/>
          <w:szCs w:val="28"/>
          <w:highlight w:val="none"/>
        </w:rPr>
        <w:t>。参选人应充分考虑其它费用和今后市场价格变化的因素，其报价今后不作调整。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000000"/>
          <w:highlight w:val="none"/>
          <w:lang w:eastAsia="zh-CN"/>
        </w:rPr>
      </w:pPr>
      <w:r>
        <w:rPr>
          <w:rFonts w:hint="eastAsia" w:ascii="方正仿宋_GBK" w:hAnsi="方正仿宋_GBK" w:eastAsia="方正仿宋_GBK" w:cs="方正仿宋_GBK"/>
          <w:color w:val="000000"/>
          <w:highlight w:val="none"/>
        </w:rPr>
        <w:t>备注：1.参选方报价总额不得超过人民币</w:t>
      </w:r>
      <w:r>
        <w:rPr>
          <w:rFonts w:hint="eastAsia" w:ascii="方正仿宋_GBK" w:hAnsi="方正仿宋_GBK" w:eastAsia="方正仿宋_GBK" w:cs="方正仿宋_GBK"/>
          <w:color w:val="000000"/>
          <w:highlight w:val="none"/>
          <w:lang w:val="en-US" w:eastAsia="zh-CN"/>
        </w:rPr>
        <w:t>柒</w:t>
      </w:r>
      <w:r>
        <w:rPr>
          <w:rFonts w:hint="eastAsia" w:ascii="方正仿宋_GBK" w:hAnsi="方正仿宋_GBK" w:eastAsia="方正仿宋_GBK" w:cs="方正仿宋_GBK"/>
          <w:color w:val="000000"/>
          <w:highlight w:val="none"/>
        </w:rPr>
        <w:t>拾万元整（小写：￥</w:t>
      </w:r>
      <w:r>
        <w:rPr>
          <w:rFonts w:hint="eastAsia" w:ascii="方正仿宋_GBK" w:hAnsi="方正仿宋_GBK" w:eastAsia="方正仿宋_GBK" w:cs="方正仿宋_GBK"/>
          <w:color w:val="000000"/>
          <w:highlight w:val="none"/>
          <w:lang w:val="en-US" w:eastAsia="zh-CN"/>
        </w:rPr>
        <w:t>700000</w:t>
      </w:r>
      <w:r>
        <w:rPr>
          <w:rFonts w:hint="eastAsia" w:ascii="方正仿宋_GBK" w:hAnsi="方正仿宋_GBK" w:eastAsia="方正仿宋_GBK" w:cs="方正仿宋_GBK"/>
          <w:color w:val="000000"/>
          <w:highlight w:val="none"/>
        </w:rPr>
        <w:t>元），超过则视为无效。最低报价不能作为中选的保证</w:t>
      </w:r>
      <w:r>
        <w:rPr>
          <w:rFonts w:hint="eastAsia" w:ascii="方正仿宋_GBK" w:hAnsi="方正仿宋_GBK" w:eastAsia="方正仿宋_GBK" w:cs="方正仿宋_GBK"/>
          <w:color w:val="000000"/>
          <w:highlight w:val="none"/>
          <w:lang w:eastAsia="zh-CN"/>
        </w:rPr>
        <w:t>。</w:t>
      </w:r>
    </w:p>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三、比选邀请文件的获取</w:t>
      </w:r>
      <w:bookmarkEnd w:id="13"/>
      <w:bookmarkEnd w:id="14"/>
      <w:bookmarkEnd w:id="15"/>
      <w:bookmarkEnd w:id="16"/>
      <w:bookmarkEnd w:id="1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该项目不需报名，按比选邀请文件要求直接参加。比选邀请文件自</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2023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24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日</w:t>
      </w:r>
      <w:r>
        <w:rPr>
          <w:rFonts w:hint="eastAsia" w:ascii="方正仿宋_GBK" w:hAnsi="方正仿宋_GBK" w:eastAsia="方正仿宋_GBK" w:cs="方正仿宋_GBK"/>
          <w:color w:val="000000" w:themeColor="text1"/>
          <w:sz w:val="28"/>
          <w:szCs w:val="28"/>
          <w14:textFill>
            <w14:solidFill>
              <w14:schemeClr w14:val="tx1"/>
            </w14:solidFill>
          </w14:textFill>
        </w:rPr>
        <w:t>发布至参选文件送达截止时间前，参选人可以登录比选人官方网站上（http://www.crtdri.com/）直接下载文件、图纸、补遗等所有有关资料。不管下载与否都视为参加比选人全部知晓有关比选过程和所有事宜。</w:t>
      </w:r>
    </w:p>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18" w:name="_Toc474831671"/>
      <w:bookmarkEnd w:id="18"/>
      <w:bookmarkStart w:id="19" w:name="_Toc474831673"/>
      <w:bookmarkEnd w:id="19"/>
      <w:bookmarkStart w:id="20" w:name="_Toc474831667"/>
      <w:bookmarkEnd w:id="20"/>
      <w:bookmarkStart w:id="21" w:name="_Toc474831670"/>
      <w:bookmarkEnd w:id="21"/>
      <w:bookmarkStart w:id="22" w:name="_Toc474831666"/>
      <w:bookmarkEnd w:id="22"/>
      <w:bookmarkStart w:id="23" w:name="_Toc474831665"/>
      <w:bookmarkEnd w:id="23"/>
      <w:bookmarkStart w:id="24" w:name="_Toc474831678"/>
      <w:bookmarkEnd w:id="24"/>
      <w:bookmarkStart w:id="25" w:name="_Toc474831682"/>
      <w:bookmarkEnd w:id="25"/>
      <w:bookmarkStart w:id="26" w:name="_Toc474831680"/>
      <w:bookmarkEnd w:id="26"/>
      <w:bookmarkStart w:id="27" w:name="_Toc474831677"/>
      <w:bookmarkEnd w:id="27"/>
      <w:bookmarkStart w:id="28" w:name="_Toc474831669"/>
      <w:bookmarkEnd w:id="28"/>
      <w:bookmarkStart w:id="29" w:name="_Toc474831675"/>
      <w:bookmarkEnd w:id="29"/>
      <w:bookmarkStart w:id="30" w:name="_Toc474831674"/>
      <w:bookmarkEnd w:id="30"/>
      <w:bookmarkStart w:id="31" w:name="_Toc474831681"/>
      <w:bookmarkEnd w:id="31"/>
      <w:bookmarkStart w:id="32" w:name="_Toc474831664"/>
      <w:bookmarkEnd w:id="32"/>
      <w:bookmarkStart w:id="33" w:name="_Toc474831679"/>
      <w:bookmarkEnd w:id="33"/>
      <w:bookmarkStart w:id="34" w:name="_Toc474831672"/>
      <w:bookmarkEnd w:id="34"/>
      <w:bookmarkStart w:id="35" w:name="_Toc474831668"/>
      <w:bookmarkEnd w:id="35"/>
      <w:bookmarkStart w:id="36" w:name="_Toc27148"/>
      <w:bookmarkStart w:id="37" w:name="_Toc22985"/>
      <w:bookmarkStart w:id="38" w:name="_Toc30163"/>
      <w:bookmarkStart w:id="39" w:name="_Toc18634"/>
      <w:bookmarkStart w:id="40" w:name="_Toc519237225"/>
      <w:r>
        <w:rPr>
          <w:rFonts w:hint="eastAsia" w:ascii="方正仿宋_GBK" w:hAnsi="方正仿宋_GBK" w:eastAsia="方正仿宋_GBK" w:cs="方正仿宋_GBK"/>
          <w:color w:val="000000" w:themeColor="text1"/>
          <w:szCs w:val="28"/>
          <w14:textFill>
            <w14:solidFill>
              <w14:schemeClr w14:val="tx1"/>
            </w14:solidFill>
          </w14:textFill>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1、参选文件（商务文件、报价文件、技术文件）原件各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贰</w:t>
      </w:r>
      <w:r>
        <w:rPr>
          <w:rFonts w:hint="eastAsia" w:ascii="方正仿宋_GBK" w:hAnsi="方正仿宋_GBK" w:eastAsia="方正仿宋_GBK" w:cs="方正仿宋_GBK"/>
          <w:color w:val="000000" w:themeColor="text1"/>
          <w:sz w:val="28"/>
          <w:szCs w:val="21"/>
          <w14:textFill>
            <w14:solidFill>
              <w14:schemeClr w14:val="tx1"/>
            </w14:solidFill>
          </w14:textFill>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文件一律采用A4纸打印、复印。除参选人对错处作必要修改外，</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文件中不许有加行、插字、涂抹或改写。若有修改须由</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29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bookmarkStart w:id="67" w:name="_GoBack"/>
      <w:bookmarkEnd w:id="67"/>
    </w:p>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（四）截止时间后送达的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文件将被拒收，电话、传真形式的参选概不接受。</w:t>
      </w:r>
    </w:p>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1" w:name="_Toc9369"/>
      <w:bookmarkStart w:id="42" w:name="_Toc482367418"/>
      <w:bookmarkStart w:id="43" w:name="_Toc19954"/>
      <w:bookmarkStart w:id="44" w:name="_Toc12123"/>
      <w:bookmarkStart w:id="45" w:name="_Toc481757993"/>
      <w:bookmarkStart w:id="46" w:name="_Toc519237226"/>
      <w:bookmarkStart w:id="47" w:name="_Toc26247"/>
      <w:r>
        <w:rPr>
          <w:rFonts w:hint="eastAsia" w:ascii="方正仿宋_GBK" w:hAnsi="方正仿宋_GBK" w:eastAsia="方正仿宋_GBK" w:cs="方正仿宋_GBK"/>
          <w:color w:val="000000" w:themeColor="text1"/>
          <w:szCs w:val="28"/>
          <w14:textFill>
            <w14:solidFill>
              <w14:schemeClr w14:val="tx1"/>
            </w14:solidFill>
          </w14:textFill>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评分标准如下：</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项目组织机构人员配置（14分）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1、项目负责人具有注册咨询工程师（投资）职业资格得6分，否则不得分（提供相关证书复印件加盖鲜章、近三个月由社保部门提供的社保缴纳凭证明）；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2、拟派项目组成员（除项目负责人外）具有具有注册咨询工程师（投资）职业资格或经济类</w:t>
            </w:r>
            <w:r>
              <w:rPr>
                <w:rFonts w:hint="eastAsia" w:ascii="方正仿宋_GBK" w:hAnsi="方正仿宋_GBK" w:eastAsia="方正仿宋_GBK" w:cs="方正仿宋_GBK"/>
                <w:sz w:val="24"/>
                <w:szCs w:val="28"/>
                <w:lang w:val="en-US" w:eastAsia="zh-Hans"/>
              </w:rPr>
              <w:t>中级</w:t>
            </w:r>
            <w:r>
              <w:rPr>
                <w:rFonts w:hint="eastAsia" w:ascii="方正仿宋_GBK" w:hAnsi="方正仿宋_GBK" w:eastAsia="方正仿宋_GBK" w:cs="方正仿宋_GBK"/>
                <w:sz w:val="24"/>
                <w:szCs w:val="28"/>
                <w:lang w:val="en-US" w:eastAsia="zh-CN"/>
              </w:rPr>
              <w:t>及以上职称的，每名成员得2分，最高得8分。（提供相关证书复印件加盖鲜章、近三个月由社保部门提供的社保缴纳凭证明）。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业绩（16分）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1、参选人自2018年1月1日至今(以合同签订时间为准)具有同类业绩，每提供1个得2分，最高8分（提供项目合同或中标通知书复印件）。</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2、项目负责人具有类似咨询服务工作相关经历的，每个得2分，最高得8分（提供项目业绩证明）。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咨询服务机构针对本项目的理解和运作思路（</w:t>
            </w:r>
            <w:r>
              <w:rPr>
                <w:rFonts w:hint="eastAsia" w:ascii="方正仿宋_GBK" w:hAnsi="方正仿宋_GBK" w:eastAsia="方正仿宋_GBK" w:cs="方正仿宋_GBK"/>
                <w:sz w:val="24"/>
                <w:szCs w:val="28"/>
                <w:lang w:val="en-US" w:eastAsia="zh-CN"/>
              </w:rPr>
              <w:t>15</w:t>
            </w:r>
            <w:r>
              <w:rPr>
                <w:rFonts w:hint="eastAsia" w:ascii="方正仿宋_GBK" w:hAnsi="方正仿宋_GBK" w:eastAsia="方正仿宋_GBK" w:cs="方正仿宋_GBK"/>
                <w:sz w:val="24"/>
                <w:szCs w:val="28"/>
                <w:lang w:val="en-US" w:eastAsia="zh-Hans"/>
              </w:rPr>
              <w:t>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方案编制科学合理，时间进度计划安排合理、可行，提交计划符合项目要求，满足工作内容相关要求</w:t>
            </w:r>
            <w:r>
              <w:rPr>
                <w:rFonts w:hint="eastAsia" w:ascii="方正仿宋_GBK" w:hAnsi="方正仿宋_GBK" w:eastAsia="方正仿宋_GBK" w:cs="方正仿宋_GBK"/>
                <w:sz w:val="24"/>
                <w:szCs w:val="28"/>
                <w:lang w:val="en-US" w:eastAsia="zh-CN"/>
              </w:rPr>
              <w:t>。优秀得15~12分、一般得11~6分、差得5~1分、无得0分。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Hans"/>
              </w:rPr>
            </w:pPr>
            <w:r>
              <w:rPr>
                <w:rFonts w:hint="eastAsia" w:ascii="方正仿宋_GBK" w:hAnsi="方正仿宋_GBK" w:eastAsia="方正仿宋_GBK" w:cs="方正仿宋_GBK"/>
                <w:sz w:val="24"/>
                <w:szCs w:val="28"/>
                <w:lang w:val="en-US" w:eastAsia="zh-Hans"/>
              </w:rPr>
              <w:t>本项目重点难点问题把握准确及解决方案</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w:t>
            </w:r>
            <w:r>
              <w:rPr>
                <w:rFonts w:hint="eastAsia" w:ascii="方正仿宋_GBK" w:hAnsi="方正仿宋_GBK" w:eastAsia="方正仿宋_GBK" w:cs="方正仿宋_GBK"/>
                <w:sz w:val="24"/>
                <w:szCs w:val="28"/>
                <w:lang w:val="en-US" w:eastAsia="zh-CN"/>
              </w:rPr>
              <w:t>10</w:t>
            </w:r>
            <w:r>
              <w:rPr>
                <w:rFonts w:hint="eastAsia" w:ascii="方正仿宋_GBK" w:hAnsi="方正仿宋_GBK" w:eastAsia="方正仿宋_GBK" w:cs="方正仿宋_GBK"/>
                <w:sz w:val="24"/>
                <w:szCs w:val="28"/>
                <w:lang w:val="en-US" w:eastAsia="zh-Hans"/>
              </w:rPr>
              <w:t>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针对本项目工作重点难点问题把握准确，就相关问题提出合理的解决方案针对性强、可操作性强，满足工作内容相关要求</w:t>
            </w:r>
            <w:r>
              <w:rPr>
                <w:rFonts w:hint="eastAsia" w:ascii="方正仿宋_GBK" w:hAnsi="方正仿宋_GBK" w:eastAsia="方正仿宋_GBK" w:cs="方正仿宋_GBK"/>
                <w:sz w:val="24"/>
                <w:szCs w:val="28"/>
                <w:lang w:val="en-US" w:eastAsia="zh-CN"/>
              </w:rPr>
              <w:t>。优秀得10~8分、一般得7~4分、差得3~1分、无得0分。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工作质量保障措施</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各阶段工作质量措施科学、全面、合理，符合国家质量体系程序要求</w:t>
            </w:r>
            <w:r>
              <w:rPr>
                <w:rFonts w:hint="eastAsia" w:ascii="方正仿宋_GBK" w:hAnsi="方正仿宋_GBK" w:eastAsia="方正仿宋_GBK" w:cs="方正仿宋_GBK"/>
                <w:sz w:val="24"/>
                <w:szCs w:val="28"/>
                <w:lang w:val="en-US" w:eastAsia="zh-CN"/>
              </w:rPr>
              <w:t>。优秀得10~8分、一般得7~4分、差得3~1分、无得0分。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咨询服务工作的进度安排及保证措施（</w:t>
            </w:r>
            <w:r>
              <w:rPr>
                <w:rFonts w:hint="eastAsia" w:ascii="方正仿宋_GBK" w:hAnsi="方正仿宋_GBK" w:eastAsia="方正仿宋_GBK" w:cs="方正仿宋_GBK"/>
                <w:sz w:val="24"/>
                <w:szCs w:val="28"/>
                <w:lang w:val="en-US" w:eastAsia="zh-CN"/>
              </w:rPr>
              <w:t>5</w:t>
            </w:r>
            <w:r>
              <w:rPr>
                <w:rFonts w:hint="eastAsia" w:ascii="方正仿宋_GBK" w:hAnsi="方正仿宋_GBK" w:eastAsia="方正仿宋_GBK" w:cs="方正仿宋_GBK"/>
                <w:sz w:val="24"/>
                <w:szCs w:val="28"/>
                <w:lang w:val="en-US" w:eastAsia="zh-Hans"/>
              </w:rPr>
              <w:t>分）</w:t>
            </w:r>
          </w:p>
        </w:tc>
        <w:tc>
          <w:tcPr>
            <w:tcW w:w="5012"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Hans"/>
              </w:rPr>
              <w:t>咨询服务工作安排合理，保障措施到位</w:t>
            </w:r>
            <w:r>
              <w:rPr>
                <w:rFonts w:hint="eastAsia" w:ascii="方正仿宋_GBK" w:hAnsi="方正仿宋_GBK" w:eastAsia="方正仿宋_GBK" w:cs="方正仿宋_GBK"/>
                <w:sz w:val="24"/>
                <w:szCs w:val="28"/>
                <w:lang w:val="en-US" w:eastAsia="zh-CN"/>
              </w:rPr>
              <w:t>。优秀得5~4分、一般得3~2分、差得1分、无得0分。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以各供应商的最终有效报价的算术平均值作为评审基准价；有效供应商去掉最高价及最低价进行评审基准价计算（不足六家则不去）。</w:t>
            </w:r>
            <w:r>
              <w:rPr>
                <w:rFonts w:hint="eastAsia" w:ascii="方正仿宋_GBK" w:hAnsi="方正仿宋_GBK" w:eastAsia="方正仿宋_GBK" w:cs="方正仿宋_GBK"/>
                <w:sz w:val="24"/>
                <w:szCs w:val="28"/>
                <w:lang w:val="en-US" w:eastAsia="zh-CN"/>
              </w:rPr>
              <w:br w:type="textWrapping"/>
            </w:r>
            <w:r>
              <w:rPr>
                <w:rFonts w:hint="eastAsia" w:ascii="方正仿宋_GBK" w:hAnsi="方正仿宋_GBK" w:eastAsia="方正仿宋_GBK" w:cs="方正仿宋_GBK"/>
                <w:sz w:val="24"/>
                <w:szCs w:val="28"/>
                <w:lang w:val="en-US" w:eastAsia="zh-CN"/>
              </w:rPr>
              <w:t>最终有效报价等于评审基准价，得最高分30分；每高于评审基准值1%，扣0.5分，扣完为止；每低于评审基准值1%，扣0.25分，扣完为止。</w:t>
            </w:r>
          </w:p>
        </w:tc>
      </w:tr>
    </w:tbl>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8" w:name="_Toc12002"/>
      <w:bookmarkStart w:id="49" w:name="_Toc482367419"/>
      <w:bookmarkStart w:id="50" w:name="_Toc519237227"/>
      <w:bookmarkStart w:id="51" w:name="_Toc481757994"/>
      <w:bookmarkStart w:id="52" w:name="_Toc5423"/>
      <w:bookmarkStart w:id="53" w:name="_Toc26457"/>
      <w:bookmarkStart w:id="54" w:name="_Toc27141"/>
      <w:r>
        <w:rPr>
          <w:rFonts w:hint="eastAsia" w:ascii="方正仿宋_GBK" w:hAnsi="方正仿宋_GBK" w:eastAsia="方正仿宋_GBK" w:cs="方正仿宋_GBK"/>
          <w:color w:val="000000" w:themeColor="text1"/>
          <w:szCs w:val="28"/>
          <w14:textFill>
            <w14:solidFill>
              <w14:schemeClr w14:val="tx1"/>
            </w14:solidFill>
          </w14:textFill>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（六）评审结束后，评审结果将在比选人官方网站上（http://www.crtdri.com/）进行公示，公示期为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个工作日；</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（八）本次比选活动的解释权归比选人。</w:t>
      </w:r>
    </w:p>
    <w:p>
      <w:pPr>
        <w:pStyle w:val="27"/>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55" w:name="_Toc5708"/>
      <w:bookmarkStart w:id="56" w:name="_Toc35539989"/>
      <w:bookmarkStart w:id="57" w:name="_Toc10407"/>
      <w:bookmarkStart w:id="58" w:name="_Toc11924"/>
      <w:r>
        <w:rPr>
          <w:rFonts w:hint="eastAsia" w:ascii="方正仿宋_GBK" w:hAnsi="方正仿宋_GBK" w:eastAsia="方正仿宋_GBK" w:cs="方正仿宋_GBK"/>
          <w:color w:val="000000" w:themeColor="text1"/>
          <w:szCs w:val="28"/>
          <w14:textFill>
            <w14:solidFill>
              <w14:schemeClr w14:val="tx1"/>
            </w14:solidFill>
          </w14:textFill>
        </w:rPr>
        <w:t>七、附件</w:t>
      </w:r>
      <w:bookmarkEnd w:id="55"/>
      <w:bookmarkEnd w:id="56"/>
      <w:bookmarkEnd w:id="57"/>
      <w:bookmarkEnd w:id="58"/>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：报价书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14:textFill>
            <w14:solidFill>
              <w14:schemeClr w14:val="tx1"/>
            </w14:solidFill>
          </w14:textFill>
        </w:rPr>
        <w:t>人员汇总表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负责人</w:t>
      </w:r>
      <w:r>
        <w:rPr>
          <w:rFonts w:hint="eastAsia" w:ascii="方正仿宋_GBK" w:hAnsi="方正仿宋_GBK" w:eastAsia="方正仿宋_GBK" w:cs="方正仿宋_GBK"/>
          <w:color w:val="000000" w:themeColor="text1"/>
          <w:sz w:val="28"/>
          <w:szCs w:val="28"/>
          <w14:textFill>
            <w14:solidFill>
              <w14:schemeClr w14:val="tx1"/>
            </w14:solidFill>
          </w14:textFill>
        </w:rPr>
        <w:t>简历表</w:t>
      </w:r>
    </w:p>
    <w:p>
      <w:pPr>
        <w:pStyle w:val="8"/>
        <w:spacing w:line="560" w:lineRule="exact"/>
        <w:ind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14:textFill>
            <w14:solidFill>
              <w14:schemeClr w14:val="tx1"/>
            </w14:solidFill>
          </w14:textFill>
        </w:rPr>
        <w:t>：参考合同模板</w:t>
      </w:r>
    </w:p>
    <w:p>
      <w:pPr>
        <w:widowControl/>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附件1</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bookmarkStart w:id="59" w:name="_Toc20825"/>
      <w:bookmarkStart w:id="60" w:name="_Toc16045"/>
      <w:bookmarkStart w:id="61" w:name="_Toc7393"/>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法人</w:t>
      </w:r>
      <w:bookmarkEnd w:id="59"/>
      <w:bookmarkEnd w:id="60"/>
      <w:bookmarkEnd w:id="61"/>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身份证明</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单位名称：</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注册地址：</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名：</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 xml:space="preserve">      性    别：</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身份证号码：</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topLinePunct/>
        <w:ind w:right="210" w:rightChars="100"/>
        <w:contextualSpacing/>
        <w:rPr>
          <w:rFonts w:hint="eastAsia"/>
          <w:kern w:val="0"/>
          <w:szCs w:val="36"/>
        </w:rPr>
      </w:pPr>
    </w:p>
    <w:p>
      <w:pPr>
        <w:topLinePunct/>
        <w:spacing w:line="440" w:lineRule="exact"/>
        <w:contextualSpacing/>
        <w:rPr>
          <w:rFonts w:hint="eastAsia" w:ascii="方正仿宋_GBK" w:hAnsi="方正仿宋_GBK" w:eastAsia="方正仿宋_GBK" w:cs="方正仿宋_GBK"/>
          <w:kern w:val="0"/>
          <w:szCs w:val="36"/>
        </w:rPr>
      </w:pPr>
      <w:r>
        <w:rPr>
          <w:rFonts w:hint="eastAsia" w:ascii="方正仿宋_GBK" w:hAnsi="方正仿宋_GBK" w:eastAsia="方正仿宋_GBK" w:cs="方正仿宋_GBK"/>
          <w:kern w:val="0"/>
          <w:szCs w:val="36"/>
        </w:rPr>
        <w:t>法定代表人身份证明：</w:t>
      </w:r>
    </w:p>
    <w:tbl>
      <w:tblPr>
        <w:tblStyle w:val="17"/>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kern w:val="0"/>
          <w:sz w:val="16"/>
          <w:szCs w:val="20"/>
        </w:rPr>
      </w:pPr>
    </w:p>
    <w:p>
      <w:pPr>
        <w:spacing w:line="440" w:lineRule="exact"/>
        <w:ind w:firstLine="0" w:firstLineChars="0"/>
        <w:jc w:val="left"/>
        <w:rPr>
          <w:rFonts w:hint="eastAsia" w:ascii="方正仿宋_GBK" w:hAnsi="方正仿宋_GBK" w:eastAsia="方正仿宋_GBK" w:cs="方正仿宋_GBK"/>
          <w:sz w:val="28"/>
          <w:szCs w:val="28"/>
        </w:rPr>
      </w:pPr>
    </w:p>
    <w:p>
      <w:pPr>
        <w:spacing w:line="440" w:lineRule="exact"/>
        <w:ind w:firstLine="0" w:firstLineChars="0"/>
        <w:jc w:val="left"/>
        <w:rPr>
          <w:rFonts w:hint="eastAsia" w:ascii="方正仿宋_GBK" w:hAnsi="方正仿宋_GBK" w:eastAsia="方正仿宋_GBK" w:cs="方正仿宋_GBK"/>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rPr>
        <w:t>注: 法定代表人的签字必须是亲笔签名，不得使用印章、签名章或其他电子制版签名代替。</w:t>
      </w:r>
    </w:p>
    <w:p>
      <w:pPr>
        <w:spacing w:line="520" w:lineRule="exac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2</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法定代表人授权委托书</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重庆市轨道交通设计研究院有限责任公司</w:t>
      </w:r>
      <w:r>
        <w:rPr>
          <w:rFonts w:hint="eastAsia" w:ascii="方正仿宋_GBK" w:hAnsi="方正仿宋_GBK" w:eastAsia="方正仿宋_GBK" w:cs="方正仿宋_GBK"/>
          <w:color w:val="000000" w:themeColor="text1"/>
          <w:spacing w:val="-20"/>
          <w:sz w:val="28"/>
          <w:szCs w:val="28"/>
          <w14:textFill>
            <w14:solidFill>
              <w14:schemeClr w14:val="tx1"/>
            </w14:solidFill>
          </w14:textFill>
        </w:rPr>
        <w:t>：</w:t>
      </w:r>
    </w:p>
    <w:p>
      <w:pPr>
        <w:spacing w:line="520" w:lineRule="exact"/>
        <w:ind w:firstLine="480" w:firstLineChars="20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pacing w:val="-20"/>
          <w:sz w:val="28"/>
          <w:szCs w:val="28"/>
          <w14:textFill>
            <w14:solidFill>
              <w14:schemeClr w14:val="tx1"/>
            </w14:solidFill>
          </w14:textFill>
        </w:rPr>
        <w:t>____________</w:t>
      </w:r>
      <w:r>
        <w:rPr>
          <w:rFonts w:hint="eastAsia" w:ascii="方正仿宋_GBK" w:hAnsi="方正仿宋_GBK" w:eastAsia="方正仿宋_GBK" w:cs="方正仿宋_GBK"/>
          <w:color w:val="000000" w:themeColor="text1"/>
          <w:sz w:val="28"/>
          <w:szCs w:val="28"/>
          <w14:textFill>
            <w14:solidFill>
              <w14:schemeClr w14:val="tx1"/>
            </w14:solidFill>
          </w14:textFill>
        </w:rPr>
        <w:t>（参选单位名称）的法定代表人授权</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（授权代表姓名）职务：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为授权代表，身份证号码为：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参加贵单位组织的“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法定代表人签字或盖章：</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职务：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spacing w:line="520" w:lineRule="exact"/>
        <w:ind w:right="56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2" w:name="_附件2"/>
      <w:bookmarkEnd w:id="62"/>
      <w:bookmarkStart w:id="63" w:name="_Toc229564657"/>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bookmarkEnd w:id="63"/>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bookmarkStart w:id="64" w:name="_Toc229564658"/>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bookmarkEnd w:id="64"/>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3</w:t>
      </w:r>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bookmarkStart w:id="65" w:name="_表3-1__咨询公司基本信息表"/>
      <w:bookmarkEnd w:id="65"/>
      <w:bookmarkStart w:id="66" w:name="_Toc229564659"/>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公司基本信息表</w:t>
      </w:r>
      <w:bookmarkEnd w:id="66"/>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p>
    <w:tbl>
      <w:tblPr>
        <w:tblStyle w:val="1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1、我司严格遵守国家</w:t>
            </w:r>
            <w:r>
              <w:rPr>
                <w:rFonts w:hint="eastAsia" w:ascii="方正仿宋_GBK" w:hAnsi="方正仿宋_GBK" w:eastAsia="方正仿宋_GBK" w:cs="方正仿宋_GBK"/>
                <w:sz w:val="28"/>
                <w:szCs w:val="28"/>
                <w:lang w:eastAsia="zh-CN"/>
              </w:rPr>
              <w:t>法律法规</w:t>
            </w:r>
            <w:r>
              <w:rPr>
                <w:rFonts w:hint="eastAsia" w:ascii="方正仿宋_GBK" w:hAnsi="方正仿宋_GBK" w:eastAsia="方正仿宋_GBK" w:cs="方正仿宋_GBK"/>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附：按比选邀请文件第二章要求提供附件。</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4</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报价书</w:t>
      </w:r>
    </w:p>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技术服务</w:t>
      </w:r>
      <w:r>
        <w:rPr>
          <w:rFonts w:hint="eastAsia" w:ascii="方正仿宋_GBK" w:hAnsi="方正仿宋_GBK" w:eastAsia="方正仿宋_GBK" w:cs="方正仿宋_GBK"/>
          <w:color w:val="000000" w:themeColor="text1"/>
          <w:sz w:val="28"/>
          <w:szCs w:val="28"/>
          <w14:textFill>
            <w14:solidFill>
              <w14:schemeClr w14:val="tx1"/>
            </w14:solidFill>
          </w14:textFill>
        </w:rPr>
        <w:t>费报价为人民币：（大写）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5</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企业业绩汇总表</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tbl>
      <w:tblPr>
        <w:tblStyle w:val="1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工程规模</w:t>
            </w:r>
          </w:p>
        </w:tc>
        <w:tc>
          <w:tcPr>
            <w:tcW w:w="763" w:type="pct"/>
            <w:vAlign w:val="center"/>
          </w:tcPr>
          <w:p>
            <w:pPr>
              <w:widowControl/>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w:t>
      </w:r>
      <w:r>
        <w:rPr>
          <w:rFonts w:hint="eastAsia" w:ascii="方正仿宋_GBK" w:hAnsi="方正仿宋_GBK" w:eastAsia="方正仿宋_GBK" w:cs="方正仿宋_GBK"/>
        </w:rPr>
        <w:t>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b/>
          <w:color w:val="000000" w:themeColor="text1"/>
          <w:spacing w:val="-20"/>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6</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w:t>
      </w:r>
      <w:r>
        <w:rPr>
          <w:rFonts w:hint="eastAsia" w:ascii="方正仿宋_GBK" w:hAnsi="方正仿宋_GBK" w:eastAsia="方正仿宋_GBK" w:cs="方正仿宋_GBK"/>
          <w:b/>
          <w:color w:val="000000" w:themeColor="text1"/>
          <w:spacing w:val="-20"/>
          <w:sz w:val="36"/>
          <w:szCs w:val="36"/>
          <w:lang w:eastAsia="zh-CN"/>
          <w14:textFill>
            <w14:solidFill>
              <w14:schemeClr w14:val="tx1"/>
            </w14:solidFill>
          </w14:textFill>
        </w:rPr>
        <w:t>工作</w:t>
      </w: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人员汇总表</w:t>
      </w:r>
    </w:p>
    <w:tbl>
      <w:tblPr>
        <w:tblStyle w:val="17"/>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序号</w:t>
            </w: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拟任岗位</w:t>
            </w: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专业</w:t>
            </w: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职称</w:t>
            </w: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附：</w:t>
      </w:r>
      <w:r>
        <w:rPr>
          <w:rFonts w:hint="eastAsia" w:ascii="方正仿宋_GBK" w:hAnsi="方正仿宋_GBK" w:eastAsia="方正仿宋_GBK" w:cs="方正仿宋_GBK"/>
          <w:szCs w:val="21"/>
        </w:rPr>
        <w:t>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after="312" w:afterLines="100" w:line="520" w:lineRule="exact"/>
        <w:jc w:val="left"/>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after="312" w:afterLines="100"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7</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拟投入本项目项目负责人简历表</w:t>
      </w:r>
    </w:p>
    <w:tbl>
      <w:tblPr>
        <w:tblStyle w:val="17"/>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项目名称、规模、担任职务、设计工作的经验、获奖情况等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szCs w:val="21"/>
        </w:rPr>
        <w:t>附：职称证书和注册职业资格证书复印件（加盖公章）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8</w:t>
      </w:r>
    </w:p>
    <w:p>
      <w:pPr>
        <w:spacing w:line="360" w:lineRule="auto"/>
        <w:ind w:firstLine="482" w:firstLineChars="200"/>
        <w:rPr>
          <w:rFonts w:ascii="方正仿宋_GBK" w:hAnsi="方正仿宋_GBK" w:eastAsia="方正仿宋_GBK" w:cs="方正仿宋_GBK"/>
          <w:b/>
          <w:sz w:val="24"/>
          <w:szCs w:val="20"/>
        </w:rPr>
      </w:pPr>
      <w:r>
        <w:rPr>
          <w:rFonts w:hint="eastAsia" w:ascii="方正仿宋_GBK" w:hAnsi="方正仿宋_GBK" w:eastAsia="方正仿宋_GBK" w:cs="方正仿宋_GBK"/>
          <w:b/>
          <w:sz w:val="24"/>
          <w:szCs w:val="20"/>
        </w:rPr>
        <w:t>合同登记编号：（重轨院-项目-咨询）202*-**-**</w:t>
      </w:r>
    </w:p>
    <w:p>
      <w:pPr>
        <w:spacing w:line="360" w:lineRule="auto"/>
        <w:ind w:firstLine="560" w:firstLineChars="200"/>
        <w:rPr>
          <w:rFonts w:ascii="方正仿宋_GBK" w:hAnsi="方正仿宋_GBK" w:eastAsia="方正仿宋_GBK" w:cs="方正仿宋_GBK"/>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sz w:val="44"/>
          <w:szCs w:val="20"/>
        </w:rPr>
      </w:pPr>
      <w:r>
        <w:rPr>
          <w:rFonts w:hint="eastAsia" w:ascii="方正仿宋_GBK" w:hAnsi="方正仿宋_GBK" w:eastAsia="方正仿宋_GBK" w:cs="方正仿宋_GBK"/>
          <w:b/>
          <w:sz w:val="44"/>
          <w:szCs w:val="20"/>
        </w:rPr>
        <w:tab/>
      </w:r>
      <w:r>
        <w:rPr>
          <w:rFonts w:hint="eastAsia" w:ascii="方正仿宋_GBK" w:hAnsi="方正仿宋_GBK" w:eastAsia="方正仿宋_GBK" w:cs="方正仿宋_GBK"/>
          <w:b/>
          <w:sz w:val="44"/>
          <w:szCs w:val="20"/>
        </w:rPr>
        <w:t>技  术  服  务  合  同</w:t>
      </w:r>
      <w:r>
        <w:rPr>
          <w:rFonts w:hint="eastAsia" w:ascii="方正仿宋_GBK" w:hAnsi="方正仿宋_GBK" w:eastAsia="方正仿宋_GBK" w:cs="方正仿宋_GBK"/>
          <w:b/>
          <w:sz w:val="44"/>
          <w:szCs w:val="20"/>
        </w:rPr>
        <w:tab/>
      </w:r>
    </w:p>
    <w:p>
      <w:pPr>
        <w:spacing w:line="360" w:lineRule="auto"/>
        <w:ind w:firstLine="560" w:firstLineChars="200"/>
        <w:jc w:val="center"/>
        <w:outlineLvl w:val="0"/>
        <w:rPr>
          <w:rFonts w:ascii="方正仿宋_GBK" w:hAnsi="方正仿宋_GBK" w:eastAsia="方正仿宋_GBK" w:cs="方正仿宋_GBK"/>
          <w:sz w:val="28"/>
          <w:szCs w:val="20"/>
        </w:rPr>
      </w:pPr>
    </w:p>
    <w:p>
      <w:pPr>
        <w:spacing w:line="360" w:lineRule="auto"/>
        <w:ind w:firstLine="560" w:firstLineChars="200"/>
        <w:jc w:val="center"/>
        <w:rPr>
          <w:rFonts w:ascii="方正仿宋_GBK" w:hAnsi="方正仿宋_GBK" w:eastAsia="方正仿宋_GBK" w:cs="方正仿宋_GBK"/>
          <w:sz w:val="28"/>
          <w:szCs w:val="20"/>
        </w:rPr>
      </w:pPr>
    </w:p>
    <w:p>
      <w:pPr>
        <w:spacing w:line="360" w:lineRule="auto"/>
        <w:ind w:left="1500" w:hanging="1500" w:hangingChars="5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项目名称：</w:t>
      </w:r>
      <w:r>
        <w:rPr>
          <w:rFonts w:hint="eastAsia" w:ascii="方正仿宋_GBK" w:hAnsi="方正仿宋_GBK" w:eastAsia="方正仿宋_GBK" w:cs="方正仿宋_GBK"/>
          <w:sz w:val="30"/>
          <w:szCs w:val="20"/>
          <w:u w:val="single"/>
        </w:rPr>
        <w:t xml:space="preserve">兰州市城市轨道交通第二期建设规划投融资方案研究报告 </w:t>
      </w:r>
    </w:p>
    <w:p>
      <w:pPr>
        <w:spacing w:line="360" w:lineRule="auto"/>
        <w:ind w:left="1500" w:hanging="1500" w:hangingChars="5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委托人（甲方）：</w:t>
      </w:r>
      <w:r>
        <w:rPr>
          <w:rFonts w:hint="eastAsia" w:ascii="方正仿宋_GBK" w:hAnsi="方正仿宋_GBK" w:eastAsia="方正仿宋_GBK" w:cs="方正仿宋_GBK"/>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sz w:val="30"/>
          <w:szCs w:val="20"/>
          <w:u w:val="single"/>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 xml:space="preserve">受托人（乙方）：   </w:t>
      </w:r>
      <w:r>
        <w:rPr>
          <w:rFonts w:hint="eastAsia" w:ascii="方正仿宋_GBK" w:hAnsi="方正仿宋_GBK" w:eastAsia="方正仿宋_GBK" w:cs="方正仿宋_GBK"/>
          <w:sz w:val="30"/>
          <w:szCs w:val="20"/>
          <w:u w:val="single"/>
        </w:rPr>
        <w:t xml:space="preserve">                                 </w:t>
      </w: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签订地点：    重庆市渝北区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签订日期：    2023年   月    日</w:t>
      </w:r>
    </w:p>
    <w:p>
      <w:pPr>
        <w:spacing w:line="360" w:lineRule="auto"/>
        <w:ind w:firstLine="560" w:firstLineChars="200"/>
        <w:rPr>
          <w:rFonts w:ascii="方正仿宋_GBK" w:hAnsi="方正仿宋_GBK" w:eastAsia="方正仿宋_GBK" w:cs="方正仿宋_GBK"/>
          <w:sz w:val="28"/>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r>
        <w:rPr>
          <w:rFonts w:hint="eastAsia" w:ascii="方正仿宋_GBK" w:hAnsi="方正仿宋_GBK" w:eastAsia="方正仿宋_GBK" w:cs="方正仿宋_GBK"/>
          <w:sz w:val="28"/>
          <w:szCs w:val="20"/>
        </w:rPr>
        <w:br w:type="page"/>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依据《中华人民共和国民法典》的规定，合同双方就兰州市城市轨道交通第二期建设规划投融资方案研究</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一、服务内容、方式和要求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为更好地完成甲方所承担的兰州市城市轨道交通第二期建设规划项目合同，甲方委托乙方编制兰州市城市轨道交通第二期建设规划投融资方案研究</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服务内容及要求如下：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（一）乙方编制兰州市城市轨道交通第二期建设规划投融资方案研究</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，并向甲方提供咨询和指导服务。</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（二）编制内容、深度及要求：依据相关规程规范及建设业主要求，结合兰州市城市轨道交通第二期建设规划方案编制《兰州市城市轨道交通第二期建设规划投融资方案研究报告》</w:t>
      </w:r>
      <w:r>
        <w:rPr>
          <w:rFonts w:hint="eastAsia" w:ascii="方正仿宋_GBK" w:hAnsi="方正仿宋_GBK" w:eastAsia="方正仿宋_GBK" w:cs="方正仿宋_GBK"/>
          <w:sz w:val="24"/>
          <w:szCs w:val="20"/>
          <w:lang w:val="en-US" w:eastAsia="zh-CN"/>
        </w:rPr>
        <w:t>，</w:t>
      </w:r>
      <w:r>
        <w:rPr>
          <w:rFonts w:hint="eastAsia" w:ascii="方正仿宋_GBK" w:hAnsi="方正仿宋_GBK" w:eastAsia="方正仿宋_GBK" w:cs="方正仿宋_GBK"/>
          <w:sz w:val="24"/>
          <w:szCs w:val="20"/>
        </w:rPr>
        <w:t>报告应包含但不限于</w:t>
      </w:r>
      <w:r>
        <w:rPr>
          <w:rFonts w:hint="eastAsia" w:ascii="方正仿宋_GBK" w:hAnsi="方正仿宋_GBK" w:eastAsia="方正仿宋_GBK" w:cs="方正仿宋_GBK"/>
          <w:sz w:val="24"/>
          <w:szCs w:val="20"/>
          <w:lang w:val="en-US" w:eastAsia="zh-CN"/>
        </w:rPr>
        <w:t>梳理国家现行政策提出可供选择的投融资方案，通过调研兰州市实际情况进一步对第二规划建设进行投融资专题研究，合理编制资金筹措方案及建设投资计划，通过财务测算编制财政收支预算平衡表，分析建设、运营全生命周期内的风险，全面考量政府的资金保障能力，确保政府财力可支撑和企业财务的可持续性等</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编制内容及深度应满足建设规划主报告及线路预可行性研究报告编制要求</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二、工作条件和协作事项：</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三、履行期限、地点和方式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（四）上述计划应根据工程实际情况予以调整，报告的完成时间应满足兰州市城市轨道交通第二期建设规划报告实际进度需要。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（五）办理</w:t>
      </w:r>
      <w:r>
        <w:rPr>
          <w:rFonts w:hint="eastAsia" w:ascii="方正仿宋_GBK" w:hAnsi="方正仿宋_GBK" w:eastAsia="方正仿宋_GBK" w:cs="方正仿宋_GBK"/>
          <w:sz w:val="24"/>
          <w:szCs w:val="20"/>
          <w:lang w:eastAsia="zh-CN"/>
        </w:rPr>
        <w:t>行政审批</w:t>
      </w:r>
      <w:r>
        <w:rPr>
          <w:rFonts w:hint="eastAsia" w:ascii="方正仿宋_GBK" w:hAnsi="方正仿宋_GBK" w:eastAsia="方正仿宋_GBK" w:cs="方正仿宋_GBK"/>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四、验收标准和方式</w:t>
      </w:r>
    </w:p>
    <w:p>
      <w:pPr>
        <w:snapToGrid w:val="0"/>
        <w:spacing w:line="480" w:lineRule="exact"/>
        <w:ind w:firstLine="480" w:firstLineChars="200"/>
        <w:rPr>
          <w:rFonts w:hint="eastAsia" w:ascii="方正仿宋_GBK" w:hAnsi="方正仿宋_GBK" w:eastAsia="方正仿宋_GBK" w:cs="方正仿宋_GBK"/>
          <w:sz w:val="24"/>
          <w:szCs w:val="20"/>
          <w:highlight w:val="none"/>
        </w:rPr>
      </w:pPr>
      <w:r>
        <w:rPr>
          <w:rFonts w:hint="eastAsia" w:ascii="方正仿宋_GBK" w:hAnsi="方正仿宋_GBK" w:eastAsia="方正仿宋_GBK" w:cs="方正仿宋_GBK"/>
          <w:sz w:val="24"/>
          <w:szCs w:val="20"/>
        </w:rPr>
        <w:t>兰州市城市轨道交通第二期建设规划</w:t>
      </w:r>
      <w:r>
        <w:rPr>
          <w:rFonts w:hint="eastAsia" w:ascii="方正仿宋_GBK" w:hAnsi="方正仿宋_GBK" w:eastAsia="方正仿宋_GBK" w:cs="方正仿宋_GBK"/>
          <w:sz w:val="24"/>
          <w:szCs w:val="20"/>
          <w:lang w:val="en-US" w:eastAsia="zh-CN"/>
        </w:rPr>
        <w:t>投融资方案研究</w:t>
      </w:r>
      <w:r>
        <w:rPr>
          <w:rFonts w:hint="eastAsia" w:ascii="方正仿宋_GBK" w:hAnsi="方正仿宋_GBK" w:eastAsia="方正仿宋_GBK" w:cs="方正仿宋_GBK"/>
          <w:sz w:val="24"/>
          <w:szCs w:val="20"/>
        </w:rPr>
        <w:t>报告以取得行政主管部门审查意见文件为准</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highlight w:val="none"/>
          <w:lang w:val="en-US" w:eastAsia="zh-CN"/>
        </w:rPr>
        <w:t>并通过甲方及兰州市发展和改革委员会的书面验收，</w:t>
      </w:r>
      <w:r>
        <w:rPr>
          <w:rFonts w:hint="eastAsia" w:ascii="方正仿宋_GBK" w:hAnsi="方正仿宋_GBK" w:eastAsia="方正仿宋_GBK" w:cs="方正仿宋_GBK"/>
          <w:sz w:val="24"/>
          <w:szCs w:val="20"/>
          <w:highlight w:val="none"/>
          <w:lang w:val="en" w:eastAsia="zh-CN"/>
        </w:rPr>
        <w:t>最终认定标准应为第二期建设规划获得国家相关部委批复，作为本项目最终验收通过</w:t>
      </w:r>
      <w:r>
        <w:rPr>
          <w:rFonts w:hint="eastAsia" w:ascii="方正仿宋_GBK" w:hAnsi="方正仿宋_GBK" w:eastAsia="方正仿宋_GBK" w:cs="方正仿宋_GBK"/>
          <w:sz w:val="24"/>
          <w:szCs w:val="20"/>
          <w:highlight w:val="none"/>
        </w:rPr>
        <w:t>。</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本合同服务项目的保证期为至兰州市城市轨道交通第二期建设规划报告</w:t>
      </w:r>
      <w:r>
        <w:rPr>
          <w:rFonts w:hint="eastAsia" w:ascii="方正仿宋_GBK" w:hAnsi="方正仿宋_GBK" w:eastAsia="方正仿宋_GBK" w:cs="方正仿宋_GBK"/>
          <w:sz w:val="24"/>
          <w:szCs w:val="20"/>
          <w:lang w:val="en-US" w:eastAsia="zh-CN"/>
        </w:rPr>
        <w:t>取得</w:t>
      </w:r>
      <w:r>
        <w:rPr>
          <w:rFonts w:hint="eastAsia" w:ascii="方正仿宋_GBK" w:hAnsi="方正仿宋_GBK" w:eastAsia="方正仿宋_GBK" w:cs="方正仿宋_GBK"/>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五、报酬及其支付方式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（二）支付方式（分期支付）：</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1、在合同签订后，乙方提交支付申请后30个工作日内，由甲方支付合同价款总额的30%，即¥XXXX元（大写：XXX）。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2、完成报告送审稿，且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w:t>
      </w:r>
      <w:r>
        <w:rPr>
          <w:rFonts w:hint="eastAsia" w:ascii="方正仿宋_GBK" w:hAnsi="方正仿宋_GBK" w:eastAsia="方正仿宋_GBK" w:cs="方正仿宋_GBK"/>
          <w:sz w:val="24"/>
          <w:szCs w:val="20"/>
          <w:lang w:val="en-US" w:eastAsia="zh-CN"/>
        </w:rPr>
        <w:t>市</w:t>
      </w:r>
      <w:r>
        <w:rPr>
          <w:rFonts w:hint="eastAsia" w:ascii="方正仿宋_GBK" w:hAnsi="方正仿宋_GBK" w:eastAsia="方正仿宋_GBK" w:cs="方正仿宋_GBK"/>
          <w:sz w:val="24"/>
          <w:szCs w:val="20"/>
        </w:rPr>
        <w:t>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3、报告</w:t>
      </w:r>
      <w:r>
        <w:rPr>
          <w:rFonts w:hint="eastAsia" w:ascii="方正仿宋_GBK" w:hAnsi="方正仿宋_GBK" w:eastAsia="方正仿宋_GBK" w:cs="方正仿宋_GBK"/>
          <w:sz w:val="24"/>
          <w:szCs w:val="20"/>
          <w:lang w:val="en-US" w:eastAsia="zh-CN"/>
        </w:rPr>
        <w:t>取得市级行政主管部门审查意见</w:t>
      </w:r>
      <w:r>
        <w:rPr>
          <w:rFonts w:hint="eastAsia" w:ascii="方正仿宋_GBK" w:hAnsi="方正仿宋_GBK" w:eastAsia="方正仿宋_GBK" w:cs="方正仿宋_GBK"/>
          <w:sz w:val="24"/>
          <w:szCs w:val="20"/>
        </w:rPr>
        <w:t>，且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4、</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w:t>
      </w:r>
      <w:r>
        <w:rPr>
          <w:rFonts w:hint="eastAsia" w:ascii="方正仿宋_GBK" w:hAnsi="方正仿宋_GBK" w:eastAsia="方正仿宋_GBK" w:cs="方正仿宋_GBK"/>
          <w:sz w:val="24"/>
          <w:szCs w:val="20"/>
          <w:lang w:val="en-US" w:eastAsia="zh-CN"/>
        </w:rPr>
        <w:t>建设规划主报告编制</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在</w:t>
      </w:r>
      <w:r>
        <w:rPr>
          <w:rFonts w:hint="eastAsia" w:ascii="方正仿宋_GBK" w:hAnsi="方正仿宋_GBK" w:eastAsia="方正仿宋_GBK" w:cs="方正仿宋_GBK"/>
          <w:sz w:val="24"/>
          <w:szCs w:val="20"/>
        </w:rPr>
        <w:t>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5、本合同服务项目的保证期结束后，后30个工作日内</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sz w:val="24"/>
          <w:szCs w:val="20"/>
        </w:rPr>
      </w:pPr>
      <w:r>
        <w:rPr>
          <w:rFonts w:hint="eastAsia" w:ascii="方正仿宋_GBK" w:hAnsi="方正仿宋_GBK" w:eastAsia="方正仿宋_GBK" w:cs="方正仿宋_GBK"/>
          <w:b/>
          <w:bCs/>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合同》）的相应比例款项后再提交相应分期阶段的支付申请，甲方未收到《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sz w:val="28"/>
          <w:szCs w:val="20"/>
          <w:u w:val="single"/>
        </w:rPr>
      </w:pPr>
      <w:r>
        <w:rPr>
          <w:rFonts w:hint="eastAsia" w:ascii="方正仿宋_GBK" w:hAnsi="方正仿宋_GBK" w:eastAsia="方正仿宋_GBK" w:cs="方正仿宋_GBK"/>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sz w:val="24"/>
          <w:szCs w:val="20"/>
          <w:lang w:val="en-US" w:eastAsia="zh-CN"/>
        </w:rPr>
        <w:t>报酬</w:t>
      </w:r>
      <w:r>
        <w:rPr>
          <w:rFonts w:hint="eastAsia" w:ascii="方正仿宋_GBK" w:hAnsi="方正仿宋_GBK" w:eastAsia="方正仿宋_GBK" w:cs="方正仿宋_GBK"/>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七、保密</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八、解决合同纠纷的方式</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九、通知与送达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（一）送达地址</w:t>
      </w:r>
    </w:p>
    <w:p>
      <w:pPr>
        <w:snapToGrid w:val="0"/>
        <w:spacing w:line="30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sz w:val="24"/>
          <w:szCs w:val="20"/>
        </w:rPr>
      </w:pPr>
      <w:r>
        <w:rPr>
          <w:rFonts w:ascii="方正仿宋_GBK" w:hAnsi="方正仿宋_GBK" w:eastAsia="方正仿宋_GBK" w:cs="方正仿宋_GBK"/>
          <w:sz w:val="24"/>
          <w:szCs w:val="20"/>
        </w:rPr>
        <w:t>2</w:t>
      </w:r>
      <w:r>
        <w:rPr>
          <w:rFonts w:hint="eastAsia" w:ascii="方正仿宋_GBK" w:hAnsi="方正仿宋_GBK" w:eastAsia="方正仿宋_GBK" w:cs="方正仿宋_GBK"/>
          <w:sz w:val="24"/>
          <w:szCs w:val="20"/>
        </w:rPr>
        <w:t>、乙方通讯地址：【                            】，收件人：【     】，联系电话：【      】，电子邮件【                】</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（二）送达地址适用范围</w:t>
      </w:r>
    </w:p>
    <w:p>
      <w:pPr>
        <w:snapToGrid w:val="0"/>
        <w:spacing w:line="52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r>
        <w:rPr>
          <w:rFonts w:hint="eastAsia" w:ascii="方正仿宋_GBK" w:hAnsi="方正仿宋_GBK" w:eastAsia="方正仿宋_GBK" w:cs="方正仿宋_GBK"/>
        </w:rPr>
        <w:t>。</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（三）送达地址的变更</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1、甲方如需变更送达地址</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应提前3个工作日书面通知乙方，书面通知应送达乙方的送达地址；</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2、乙方如需变更送达地址，应提前3个工作日书面通知甲方，书面通知应送达甲方的送达地址。</w:t>
      </w:r>
    </w:p>
    <w:p>
      <w:pPr>
        <w:pStyle w:val="9"/>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3、一方在仲裁或民事诉讼中变更地址的，该方还应向仲裁机构、法院履行书面通知义务。</w:t>
      </w:r>
    </w:p>
    <w:p>
      <w:pPr>
        <w:pStyle w:val="9"/>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4、一方按上述约定履行变更通知义务后，以其变更后的送达地址为有效送达地址，否则其之前确认的送达地址仍为有效送达地址。</w:t>
      </w:r>
    </w:p>
    <w:p>
      <w:pPr>
        <w:pStyle w:val="9"/>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（四）法律后果</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2、对于上述送达地址，仲裁机构、法院可直接邮寄送达，即使当事人未能收到仲裁机构、法院邮寄送达的文件，由于上述约定，仍应视为送达。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（五）本约定作为独立存在的条款，不受合同其他条款效力的影响。</w:t>
      </w:r>
    </w:p>
    <w:p>
      <w:pPr>
        <w:spacing w:afterLines="50" w:line="360" w:lineRule="auto"/>
        <w:ind w:left="482"/>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十、合同生效及其他</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本合同项下咨询成果的知识产权归甲方所有。</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其他未尽事宜由甲乙双方共同协商解决。本合同经双方签字盖章后生效，本合同一式陆份，甲、乙方各叁份，各份具有同等法律效力。</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（以下空白无正文）</w:t>
      </w:r>
    </w:p>
    <w:p>
      <w:pPr>
        <w:spacing w:line="36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br w:type="page"/>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（签章页）</w:t>
      </w:r>
    </w:p>
    <w:tbl>
      <w:tblPr>
        <w:tblStyle w:val="17"/>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委委托人︵甲方︶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重庆市轨道交通设计研究院</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367"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993"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经办人</w:t>
            </w:r>
          </w:p>
        </w:tc>
        <w:tc>
          <w:tcPr>
            <w:tcW w:w="1134" w:type="dxa"/>
            <w:gridSpan w:val="2"/>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367" w:type="dxa"/>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w:t>
            </w:r>
          </w:p>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编码</w:t>
            </w:r>
          </w:p>
        </w:tc>
        <w:tc>
          <w:tcPr>
            <w:tcW w:w="1367" w:type="dxa"/>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401120</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rPr>
              <w:t>346140100100090147</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受受托人︵乙方︶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167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1390"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41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邮政编码</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bl>
    <w:p>
      <w:pPr>
        <w:spacing w:line="360" w:lineRule="auto"/>
        <w:ind w:firstLine="560" w:firstLineChars="200"/>
        <w:rPr>
          <w:rFonts w:ascii="方正仿宋_GBK" w:hAnsi="方正仿宋_GBK" w:eastAsia="方正仿宋_GBK" w:cs="方正仿宋_GBK"/>
          <w:sz w:val="28"/>
          <w:szCs w:val="20"/>
        </w:rPr>
      </w:pPr>
    </w:p>
    <w:p>
      <w:pPr>
        <w:spacing w:line="360" w:lineRule="auto"/>
        <w:ind w:firstLine="482" w:firstLineChars="200"/>
        <w:jc w:val="left"/>
        <w:rPr>
          <w:rFonts w:ascii="方正仿宋_GBK" w:hAnsi="方正仿宋_GBK" w:eastAsia="方正仿宋_GBK" w:cs="方正仿宋_GBK"/>
          <w:b/>
          <w:bCs/>
          <w:sz w:val="24"/>
          <w:szCs w:val="21"/>
        </w:rPr>
      </w:pPr>
      <w:r>
        <w:rPr>
          <w:rFonts w:hint="eastAsia" w:ascii="方正仿宋_GBK" w:hAnsi="方正仿宋_GBK" w:eastAsia="方正仿宋_GBK" w:cs="方正仿宋_GBK"/>
          <w:b/>
          <w:bCs/>
          <w:sz w:val="24"/>
          <w:szCs w:val="21"/>
        </w:rPr>
        <w:t>附件：</w:t>
      </w:r>
    </w:p>
    <w:p>
      <w:pPr>
        <w:pStyle w:val="3"/>
        <w:numPr>
          <w:ilvl w:val="1"/>
          <w:numId w:val="0"/>
        </w:numPr>
        <w:tabs>
          <w:tab w:val="clear" w:pos="0"/>
        </w:tabs>
        <w:jc w:val="center"/>
        <w:rPr>
          <w:rFonts w:ascii="方正仿宋_GBK" w:hAnsi="方正仿宋_GBK" w:eastAsia="方正仿宋_GBK" w:cs="方正仿宋_GBK"/>
        </w:rPr>
      </w:pPr>
      <w:r>
        <w:rPr>
          <w:rFonts w:hint="eastAsia" w:ascii="方正仿宋_GBK" w:hAnsi="方正仿宋_GBK" w:eastAsia="方正仿宋_GBK" w:cs="方正仿宋_GBK"/>
        </w:rPr>
        <w:t>廉政协议书</w:t>
      </w:r>
    </w:p>
    <w:p>
      <w:pPr>
        <w:pStyle w:val="8"/>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甲方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重庆市轨道交通设计研究院有限责任公司     </w:t>
      </w:r>
    </w:p>
    <w:p>
      <w:pPr>
        <w:pStyle w:val="8"/>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乙方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                                         </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为加强廉政建设</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现就重庆市轨道交通设计研究院有限责任公司</w:t>
      </w:r>
      <w:r>
        <w:rPr>
          <w:rFonts w:hint="eastAsia" w:ascii="方正仿宋_GBK" w:hAnsi="方正仿宋_GBK" w:eastAsia="方正仿宋_GBK" w:cs="方正仿宋_GBK"/>
          <w:sz w:val="24"/>
          <w:szCs w:val="32"/>
          <w:u w:val="single"/>
        </w:rPr>
        <w:t xml:space="preserve">                 </w:t>
      </w:r>
      <w:r>
        <w:rPr>
          <w:rFonts w:hint="eastAsia" w:ascii="方正仿宋_GBK" w:hAnsi="方正仿宋_GBK" w:eastAsia="方正仿宋_GBK" w:cs="方正仿宋_GBK"/>
          <w:sz w:val="24"/>
          <w:szCs w:val="32"/>
        </w:rPr>
        <w:t>合同签订本廉政协议书。</w:t>
      </w:r>
    </w:p>
    <w:p>
      <w:pPr>
        <w:pStyle w:val="8"/>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第一条 双方责任</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（一）双方单位及工作人员应严格遵守国家的法律法规和廉政建设方面的有关规定。</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（二）自项目采购、签订合同直至项目结束全过程，双方工作人员均应全面履行合同内容及廉政协议的各项规定，自觉按合同办事。</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（三）发现对方在业务活动中有违规、违纪、违法行为的，应及时提醒对方，情节严重的，应向其上级主管部门或纪检监察部门举报。</w:t>
      </w:r>
    </w:p>
    <w:p>
      <w:pPr>
        <w:pStyle w:val="8"/>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第二条 甲方责任</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甲方单位及工作人员在合同签订及履行过程中要做到以下几点：</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（一）严格遵守廉洁从业各项规定，不准以任何形式向乙方索取和收受回扣、佣金或其他好处；</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（二）不准在乙方及乙方所属单位报销任何应由甲方单位或个人支付的费用；</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（三）不得要求或者接受乙方为其住房装修、婚丧嫁娶活动、配偶子女的工作安排以及出国出境、旅游等提供方便；</w:t>
      </w:r>
    </w:p>
    <w:p>
      <w:pPr>
        <w:pStyle w:val="8"/>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第三条 乙方责任</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乙方及所属工作人员在合同签订及履行过程中要做到以下几点：</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（一）不得向甲方工作人员赠送礼品、礼金、有价证券、支付凭证等；</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（二）不准以任何形式、理由为甲方和相关单位报销应由甲方或工作人员支付的费用；</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（三）不准为其私用提供通讯工具、交通工具；</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（四）不准组织有可能影响甲方工作人员履行公职职责或可能影响项目（产品）质量、廉政建设的宴请、旅游等各种高消费娱乐活动。</w:t>
      </w:r>
    </w:p>
    <w:p>
      <w:pPr>
        <w:pStyle w:val="8"/>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第四条 合同监管</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双方单位纪检监察部门有权依照本合同内容的规定，对合同履约中的廉洁从业情况实施监督，并有权采取措施及时制止不廉洁行为的发生。</w:t>
      </w:r>
    </w:p>
    <w:p>
      <w:pPr>
        <w:pStyle w:val="8"/>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第五条 违约责任</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（一）甲方工作人员有违反本协议书责任行为的，按照管理权限，依据有关法律法规和规定，将追究党纪、政纪责任和给予相应的经济处罚。</w:t>
      </w:r>
    </w:p>
    <w:p>
      <w:pPr>
        <w:pStyle w:val="8"/>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8"/>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第六条</w:t>
      </w:r>
      <w:r>
        <w:rPr>
          <w:rFonts w:hint="eastAsia" w:ascii="方正仿宋_GBK" w:hAnsi="方正仿宋_GBK" w:eastAsia="方正仿宋_GBK" w:cs="方正仿宋_GBK"/>
          <w:sz w:val="24"/>
          <w:szCs w:val="32"/>
        </w:rPr>
        <w:t xml:space="preserve"> 本协议书作为主合同的附件，与该合同具有同等效力。经双方签字盖章后生效。</w:t>
      </w:r>
    </w:p>
    <w:p>
      <w:pPr>
        <w:pStyle w:val="8"/>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第七条</w:t>
      </w:r>
      <w:r>
        <w:rPr>
          <w:rFonts w:hint="eastAsia" w:ascii="方正仿宋_GBK" w:hAnsi="方正仿宋_GBK" w:eastAsia="方正仿宋_GBK" w:cs="方正仿宋_GBK"/>
          <w:sz w:val="24"/>
          <w:szCs w:val="32"/>
        </w:rPr>
        <w:t xml:space="preserve"> 本协议书的有效期为双方签字盖章之日起至项目合同履行完成时止。</w:t>
      </w:r>
    </w:p>
    <w:p>
      <w:pPr>
        <w:pStyle w:val="8"/>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第八条</w:t>
      </w:r>
      <w:r>
        <w:rPr>
          <w:rFonts w:hint="eastAsia" w:ascii="方正仿宋_GBK" w:hAnsi="方正仿宋_GBK" w:eastAsia="方正仿宋_GBK" w:cs="方正仿宋_GBK"/>
          <w:sz w:val="24"/>
          <w:szCs w:val="32"/>
        </w:rPr>
        <w:t xml:space="preserve"> 本协议一式   份，双方各执   份。</w:t>
      </w:r>
    </w:p>
    <w:p>
      <w:pPr>
        <w:pStyle w:val="8"/>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第九条</w:t>
      </w:r>
      <w:r>
        <w:rPr>
          <w:rFonts w:hint="eastAsia" w:ascii="方正仿宋_GBK" w:hAnsi="方正仿宋_GBK" w:eastAsia="方正仿宋_GBK" w:cs="方正仿宋_GBK"/>
          <w:sz w:val="24"/>
          <w:szCs w:val="32"/>
        </w:rPr>
        <w:t xml:space="preserve"> 未尽事宜，由双方协商解决。</w:t>
      </w:r>
    </w:p>
    <w:p>
      <w:pPr>
        <w:pStyle w:val="8"/>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  重庆市轨道交通设计研究院有限责任公司（盖章）</w:t>
      </w:r>
    </w:p>
    <w:p>
      <w:pPr>
        <w:pStyle w:val="8"/>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8"/>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8"/>
        <w:snapToGrid w:val="0"/>
        <w:spacing w:line="520" w:lineRule="exact"/>
        <w:ind w:firstLine="3760" w:firstLineChars="15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                  年     月     日</w:t>
      </w:r>
    </w:p>
    <w:p>
      <w:pPr>
        <w:pStyle w:val="8"/>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                                     （盖章）</w:t>
      </w:r>
    </w:p>
    <w:p>
      <w:pPr>
        <w:pStyle w:val="8"/>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8"/>
        <w:snapToGrid w:val="0"/>
        <w:spacing w:line="520" w:lineRule="exact"/>
        <w:ind w:firstLine="2160" w:firstLineChars="90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8"/>
        <w:snapToGrid w:val="0"/>
        <w:spacing w:line="520" w:lineRule="exact"/>
        <w:ind w:firstLine="3991" w:firstLineChars="1663"/>
        <w:rPr>
          <w:rFonts w:hint="default"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rPr>
        <w:t xml:space="preserve">                年     月     日</w:t>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44034D-C01A-492D-8EE5-BF7EE9A80DD4}"/>
  </w:font>
  <w:font w:name="Arial">
    <w:panose1 w:val="020B0604020202020204"/>
    <w:charset w:val="01"/>
    <w:family w:val="swiss"/>
    <w:pitch w:val="default"/>
    <w:sig w:usb0="E0002EFF" w:usb1="C000785B" w:usb2="00000009" w:usb3="00000000" w:csb0="400001FF" w:csb1="FFFF0000"/>
    <w:embedRegular r:id="rId2" w:fontKey="{84706A4F-4E25-4C0E-A845-D810C13BD8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A9E2BE0-C7F6-4D02-B9B8-FCF0B1CDAFF7}"/>
  </w:font>
  <w:font w:name="Symbol">
    <w:panose1 w:val="05050102010706020507"/>
    <w:charset w:val="02"/>
    <w:family w:val="roman"/>
    <w:pitch w:val="default"/>
    <w:sig w:usb0="00000000" w:usb1="00000000" w:usb2="00000000" w:usb3="00000000" w:csb0="80000000" w:csb1="00000000"/>
    <w:embedRegular r:id="rId4" w:fontKey="{26B9593A-A315-4E42-8464-220055B3DF50}"/>
  </w:font>
  <w:font w:name="Calibri">
    <w:panose1 w:val="020F0502020204030204"/>
    <w:charset w:val="00"/>
    <w:family w:val="swiss"/>
    <w:pitch w:val="default"/>
    <w:sig w:usb0="E4002EFF" w:usb1="C000247B" w:usb2="00000009" w:usb3="00000000" w:csb0="200001FF" w:csb1="00000000"/>
    <w:embedRegular r:id="rId5" w:fontKey="{FC75CE40-8945-4026-A8AA-5A18755384CB}"/>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00000001" w:usb1="080E0000" w:usb2="00000000" w:usb3="00000000" w:csb0="00040000" w:csb1="00000000"/>
    <w:embedRegular r:id="rId6" w:fontKey="{5A80E644-516C-444E-A366-CA424A386DA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12B5C9AD-ECDA-4921-9EFA-71E8F2448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2"/>
          <w:jc w:val="center"/>
        </w:pP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836E2C"/>
    <w:rsid w:val="028B7322"/>
    <w:rsid w:val="02B211C6"/>
    <w:rsid w:val="02EB05EB"/>
    <w:rsid w:val="03A553E2"/>
    <w:rsid w:val="04241117"/>
    <w:rsid w:val="04730BB0"/>
    <w:rsid w:val="049B24D7"/>
    <w:rsid w:val="04FE63B4"/>
    <w:rsid w:val="05161897"/>
    <w:rsid w:val="05E829A4"/>
    <w:rsid w:val="061B01E4"/>
    <w:rsid w:val="065C7618"/>
    <w:rsid w:val="065D2980"/>
    <w:rsid w:val="06646776"/>
    <w:rsid w:val="07B10513"/>
    <w:rsid w:val="08055E05"/>
    <w:rsid w:val="08461C0F"/>
    <w:rsid w:val="08D00067"/>
    <w:rsid w:val="094C107E"/>
    <w:rsid w:val="0A0A2C22"/>
    <w:rsid w:val="0A3F7732"/>
    <w:rsid w:val="0B1A19C5"/>
    <w:rsid w:val="0B2F7C37"/>
    <w:rsid w:val="0B7B7CBD"/>
    <w:rsid w:val="0C922B79"/>
    <w:rsid w:val="0CB608CF"/>
    <w:rsid w:val="0CCC219F"/>
    <w:rsid w:val="0D3A6D5D"/>
    <w:rsid w:val="0D4826E4"/>
    <w:rsid w:val="0EB909AC"/>
    <w:rsid w:val="0F126809"/>
    <w:rsid w:val="0FEC0085"/>
    <w:rsid w:val="0FF564B4"/>
    <w:rsid w:val="10280B4F"/>
    <w:rsid w:val="102F0D53"/>
    <w:rsid w:val="112D0E1F"/>
    <w:rsid w:val="117D7B14"/>
    <w:rsid w:val="11C72224"/>
    <w:rsid w:val="122575AD"/>
    <w:rsid w:val="138317A1"/>
    <w:rsid w:val="14A060BB"/>
    <w:rsid w:val="14C94784"/>
    <w:rsid w:val="158D5D7C"/>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27D4301"/>
    <w:rsid w:val="22BA0851"/>
    <w:rsid w:val="23757D3B"/>
    <w:rsid w:val="23AC3ACE"/>
    <w:rsid w:val="23C62F35"/>
    <w:rsid w:val="246102B6"/>
    <w:rsid w:val="25121481"/>
    <w:rsid w:val="25AC053F"/>
    <w:rsid w:val="25BD193F"/>
    <w:rsid w:val="273A6103"/>
    <w:rsid w:val="27537AB9"/>
    <w:rsid w:val="285642A2"/>
    <w:rsid w:val="29B13146"/>
    <w:rsid w:val="2A8F00FF"/>
    <w:rsid w:val="2AA837E3"/>
    <w:rsid w:val="2CD2380F"/>
    <w:rsid w:val="2D1633DE"/>
    <w:rsid w:val="2D894194"/>
    <w:rsid w:val="2D8E211C"/>
    <w:rsid w:val="2DC56451"/>
    <w:rsid w:val="2DD90C61"/>
    <w:rsid w:val="2E170301"/>
    <w:rsid w:val="2E9174BF"/>
    <w:rsid w:val="2EAD0DD0"/>
    <w:rsid w:val="2ED062E3"/>
    <w:rsid w:val="2EE844B3"/>
    <w:rsid w:val="2EEB70FA"/>
    <w:rsid w:val="2F340CC4"/>
    <w:rsid w:val="2FC75471"/>
    <w:rsid w:val="300C49D5"/>
    <w:rsid w:val="301E2980"/>
    <w:rsid w:val="30C75F53"/>
    <w:rsid w:val="32136E8C"/>
    <w:rsid w:val="32BE2435"/>
    <w:rsid w:val="33480DDA"/>
    <w:rsid w:val="349C78C8"/>
    <w:rsid w:val="35412690"/>
    <w:rsid w:val="35DE2769"/>
    <w:rsid w:val="35EF01F3"/>
    <w:rsid w:val="36E5154B"/>
    <w:rsid w:val="373A7B26"/>
    <w:rsid w:val="37AE5371"/>
    <w:rsid w:val="37DE1540"/>
    <w:rsid w:val="38673756"/>
    <w:rsid w:val="38AA41BE"/>
    <w:rsid w:val="38C77F21"/>
    <w:rsid w:val="38CF2341"/>
    <w:rsid w:val="39512666"/>
    <w:rsid w:val="39742F86"/>
    <w:rsid w:val="39A86313"/>
    <w:rsid w:val="3A1D5FAC"/>
    <w:rsid w:val="3A7A5A7D"/>
    <w:rsid w:val="3AA43764"/>
    <w:rsid w:val="3AD76D00"/>
    <w:rsid w:val="3B226CAF"/>
    <w:rsid w:val="3B3E308D"/>
    <w:rsid w:val="3B4C4773"/>
    <w:rsid w:val="3C0314BE"/>
    <w:rsid w:val="3C0C014B"/>
    <w:rsid w:val="3C434DFE"/>
    <w:rsid w:val="3E4F5FBF"/>
    <w:rsid w:val="3E6D7AF5"/>
    <w:rsid w:val="3EC746FA"/>
    <w:rsid w:val="3F4563B2"/>
    <w:rsid w:val="3F4A4E6A"/>
    <w:rsid w:val="3F5C0AF8"/>
    <w:rsid w:val="3FEC7C8C"/>
    <w:rsid w:val="40720279"/>
    <w:rsid w:val="40F226B6"/>
    <w:rsid w:val="411F05DB"/>
    <w:rsid w:val="42DA220E"/>
    <w:rsid w:val="436F6EB9"/>
    <w:rsid w:val="439D3451"/>
    <w:rsid w:val="450A0452"/>
    <w:rsid w:val="457530D9"/>
    <w:rsid w:val="459413F5"/>
    <w:rsid w:val="46322068"/>
    <w:rsid w:val="4664377F"/>
    <w:rsid w:val="471963ED"/>
    <w:rsid w:val="47B22D3C"/>
    <w:rsid w:val="48D145DC"/>
    <w:rsid w:val="48EE515A"/>
    <w:rsid w:val="494B5F86"/>
    <w:rsid w:val="4AD54872"/>
    <w:rsid w:val="4B18351A"/>
    <w:rsid w:val="4DAC7BBB"/>
    <w:rsid w:val="4E095083"/>
    <w:rsid w:val="4E6E2D71"/>
    <w:rsid w:val="4F1B6436"/>
    <w:rsid w:val="4FA26A27"/>
    <w:rsid w:val="50460658"/>
    <w:rsid w:val="50651CFE"/>
    <w:rsid w:val="50B45F87"/>
    <w:rsid w:val="50C04FD3"/>
    <w:rsid w:val="50E81B73"/>
    <w:rsid w:val="51207E05"/>
    <w:rsid w:val="522829A2"/>
    <w:rsid w:val="52331D1A"/>
    <w:rsid w:val="52A4126E"/>
    <w:rsid w:val="531A39F8"/>
    <w:rsid w:val="53422241"/>
    <w:rsid w:val="535D6E25"/>
    <w:rsid w:val="538F7A1B"/>
    <w:rsid w:val="54593B5E"/>
    <w:rsid w:val="545E37EA"/>
    <w:rsid w:val="547269C7"/>
    <w:rsid w:val="54C271C3"/>
    <w:rsid w:val="551307A7"/>
    <w:rsid w:val="55161654"/>
    <w:rsid w:val="5551014E"/>
    <w:rsid w:val="559C6C8A"/>
    <w:rsid w:val="56A03103"/>
    <w:rsid w:val="58A62130"/>
    <w:rsid w:val="59456A3C"/>
    <w:rsid w:val="599440E1"/>
    <w:rsid w:val="5A016C3B"/>
    <w:rsid w:val="5A905BCD"/>
    <w:rsid w:val="5AB01702"/>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432746"/>
    <w:rsid w:val="60440339"/>
    <w:rsid w:val="606B1507"/>
    <w:rsid w:val="60A35C54"/>
    <w:rsid w:val="62161798"/>
    <w:rsid w:val="621978A3"/>
    <w:rsid w:val="622163B3"/>
    <w:rsid w:val="623E51B7"/>
    <w:rsid w:val="63665FD9"/>
    <w:rsid w:val="6418217B"/>
    <w:rsid w:val="641D41BA"/>
    <w:rsid w:val="65E07695"/>
    <w:rsid w:val="66082613"/>
    <w:rsid w:val="662F7567"/>
    <w:rsid w:val="66B8063B"/>
    <w:rsid w:val="66C44FB7"/>
    <w:rsid w:val="6786725F"/>
    <w:rsid w:val="688B4270"/>
    <w:rsid w:val="68BB130F"/>
    <w:rsid w:val="69165290"/>
    <w:rsid w:val="6A7C70BA"/>
    <w:rsid w:val="6B280023"/>
    <w:rsid w:val="6B344FBF"/>
    <w:rsid w:val="6BAE5E3A"/>
    <w:rsid w:val="6D0939D9"/>
    <w:rsid w:val="6DA634E3"/>
    <w:rsid w:val="6E03364D"/>
    <w:rsid w:val="6E395FE8"/>
    <w:rsid w:val="6E8D0DBC"/>
    <w:rsid w:val="6F314250"/>
    <w:rsid w:val="6F3C0AF0"/>
    <w:rsid w:val="6F971D41"/>
    <w:rsid w:val="707C6E85"/>
    <w:rsid w:val="71C7297D"/>
    <w:rsid w:val="72836AEC"/>
    <w:rsid w:val="72BC0C11"/>
    <w:rsid w:val="72F86CBC"/>
    <w:rsid w:val="73024469"/>
    <w:rsid w:val="73277DA9"/>
    <w:rsid w:val="741713BE"/>
    <w:rsid w:val="742F55B7"/>
    <w:rsid w:val="74E03F88"/>
    <w:rsid w:val="74E80943"/>
    <w:rsid w:val="754913C1"/>
    <w:rsid w:val="75967CB7"/>
    <w:rsid w:val="766A6F45"/>
    <w:rsid w:val="771F7AB6"/>
    <w:rsid w:val="775955E9"/>
    <w:rsid w:val="778D3EEA"/>
    <w:rsid w:val="781D12D3"/>
    <w:rsid w:val="78B145EA"/>
    <w:rsid w:val="78C63E8E"/>
    <w:rsid w:val="78F83568"/>
    <w:rsid w:val="792E5AA2"/>
    <w:rsid w:val="79425233"/>
    <w:rsid w:val="7A786A3C"/>
    <w:rsid w:val="7B3D2104"/>
    <w:rsid w:val="7BF95B3D"/>
    <w:rsid w:val="7C9B73F6"/>
    <w:rsid w:val="7CA442D8"/>
    <w:rsid w:val="7CB22ECF"/>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semiHidden/>
    <w:qFormat/>
    <w:uiPriority w:val="99"/>
    <w:pPr>
      <w:ind w:left="200" w:leftChars="200"/>
    </w:pPr>
    <w:rPr>
      <w:rFonts w:ascii="Times New Roman" w:hAnsi="Times New Roman" w:eastAsia="宋体" w:cs="Times New Roman"/>
      <w:szCs w:val="24"/>
    </w:rPr>
  </w:style>
  <w:style w:type="paragraph" w:styleId="6">
    <w:name w:val="Document Map"/>
    <w:basedOn w:val="1"/>
    <w:link w:val="30"/>
    <w:semiHidden/>
    <w:unhideWhenUsed/>
    <w:qFormat/>
    <w:uiPriority w:val="99"/>
    <w:rPr>
      <w:rFonts w:ascii="宋体" w:eastAsia="宋体"/>
      <w:sz w:val="18"/>
      <w:szCs w:val="18"/>
    </w:rPr>
  </w:style>
  <w:style w:type="paragraph" w:styleId="7">
    <w:name w:val="annotation text"/>
    <w:basedOn w:val="1"/>
    <w:link w:val="31"/>
    <w:semiHidden/>
    <w:unhideWhenUsed/>
    <w:qFormat/>
    <w:uiPriority w:val="99"/>
    <w:pPr>
      <w:jc w:val="left"/>
    </w:pPr>
  </w:style>
  <w:style w:type="paragraph" w:styleId="8">
    <w:name w:val="Body Text"/>
    <w:basedOn w:val="1"/>
    <w:next w:val="1"/>
    <w:qFormat/>
    <w:uiPriority w:val="1"/>
    <w:rPr>
      <w:rFonts w:ascii="宋体" w:hAnsi="宋体" w:eastAsia="宋体" w:cs="宋体"/>
      <w:szCs w:val="21"/>
    </w:rPr>
  </w:style>
  <w:style w:type="paragraph" w:styleId="9">
    <w:name w:val="Plain Text"/>
    <w:basedOn w:val="1"/>
    <w:unhideWhenUsed/>
    <w:qFormat/>
    <w:uiPriority w:val="0"/>
    <w:rPr>
      <w:rFonts w:ascii="宋体" w:hAnsi="Courier New" w:eastAsia="宋体" w:cs="Times New Roman"/>
      <w:sz w:val="24"/>
      <w:szCs w:val="20"/>
    </w:rPr>
  </w:style>
  <w:style w:type="paragraph" w:styleId="10">
    <w:name w:val="Body Text Indent 2"/>
    <w:basedOn w:val="1"/>
    <w:next w:val="1"/>
    <w:qFormat/>
    <w:uiPriority w:val="0"/>
    <w:pPr>
      <w:spacing w:line="460" w:lineRule="exact"/>
    </w:pPr>
    <w:rPr>
      <w:color w:val="000000"/>
    </w:rPr>
  </w:style>
  <w:style w:type="paragraph" w:styleId="11">
    <w:name w:val="Balloon Text"/>
    <w:basedOn w:val="1"/>
    <w:link w:val="29"/>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rPr>
      <w:rFonts w:ascii="Times New Roman" w:hAnsi="Times New Roman" w:eastAsia="宋体" w:cs="Times New Roman"/>
      <w:sz w:val="28"/>
      <w:szCs w:val="28"/>
    </w:rPr>
  </w:style>
  <w:style w:type="paragraph" w:styleId="15">
    <w:name w:val="Body Text Indent 3"/>
    <w:basedOn w:val="1"/>
    <w:qFormat/>
    <w:uiPriority w:val="0"/>
    <w:pPr>
      <w:spacing w:after="120"/>
      <w:ind w:left="420" w:leftChars="200"/>
    </w:pPr>
    <w:rPr>
      <w:sz w:val="16"/>
      <w:szCs w:val="16"/>
    </w:rPr>
  </w:style>
  <w:style w:type="paragraph" w:styleId="16">
    <w:name w:val="annotation subject"/>
    <w:basedOn w:val="7"/>
    <w:next w:val="7"/>
    <w:link w:val="32"/>
    <w:semiHidden/>
    <w:unhideWhenUsed/>
    <w:qFormat/>
    <w:uiPriority w:val="99"/>
    <w:rPr>
      <w:b/>
      <w:bCs/>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page number"/>
    <w:basedOn w:val="19"/>
    <w:qFormat/>
    <w:uiPriority w:val="0"/>
  </w:style>
  <w:style w:type="character" w:styleId="21">
    <w:name w:val="Hyperlink"/>
    <w:unhideWhenUsed/>
    <w:qFormat/>
    <w:uiPriority w:val="99"/>
    <w:rPr>
      <w:color w:val="0000FF"/>
      <w:u w:val="single"/>
    </w:rPr>
  </w:style>
  <w:style w:type="character" w:styleId="22">
    <w:name w:val="annotation reference"/>
    <w:basedOn w:val="19"/>
    <w:semiHidden/>
    <w:unhideWhenUsed/>
    <w:qFormat/>
    <w:uiPriority w:val="99"/>
    <w:rPr>
      <w:sz w:val="21"/>
      <w:szCs w:val="21"/>
    </w:rPr>
  </w:style>
  <w:style w:type="character" w:customStyle="1" w:styleId="23">
    <w:name w:val="标题 1 字符"/>
    <w:basedOn w:val="19"/>
    <w:link w:val="2"/>
    <w:qFormat/>
    <w:uiPriority w:val="9"/>
    <w:rPr>
      <w:b/>
      <w:bCs/>
      <w:kern w:val="44"/>
      <w:sz w:val="44"/>
      <w:szCs w:val="44"/>
    </w:rPr>
  </w:style>
  <w:style w:type="character" w:customStyle="1" w:styleId="24">
    <w:name w:val="页眉 字符"/>
    <w:basedOn w:val="19"/>
    <w:link w:val="13"/>
    <w:qFormat/>
    <w:uiPriority w:val="99"/>
    <w:rPr>
      <w:sz w:val="18"/>
      <w:szCs w:val="18"/>
    </w:rPr>
  </w:style>
  <w:style w:type="character" w:customStyle="1" w:styleId="25">
    <w:name w:val="页脚 字符"/>
    <w:basedOn w:val="19"/>
    <w:link w:val="12"/>
    <w:qFormat/>
    <w:uiPriority w:val="99"/>
    <w:rPr>
      <w:sz w:val="18"/>
      <w:szCs w:val="18"/>
    </w:rPr>
  </w:style>
  <w:style w:type="paragraph" w:styleId="26">
    <w:name w:val="List Paragraph"/>
    <w:basedOn w:val="1"/>
    <w:qFormat/>
    <w:uiPriority w:val="34"/>
    <w:pPr>
      <w:ind w:firstLine="420" w:firstLineChars="200"/>
    </w:pPr>
  </w:style>
  <w:style w:type="paragraph" w:customStyle="1" w:styleId="27">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8">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9">
    <w:name w:val="批注框文本 字符"/>
    <w:basedOn w:val="19"/>
    <w:link w:val="11"/>
    <w:semiHidden/>
    <w:qFormat/>
    <w:uiPriority w:val="99"/>
    <w:rPr>
      <w:rFonts w:asciiTheme="minorHAnsi" w:hAnsiTheme="minorHAnsi" w:eastAsiaTheme="minorEastAsia" w:cstheme="minorBidi"/>
      <w:kern w:val="2"/>
      <w:sz w:val="18"/>
      <w:szCs w:val="18"/>
    </w:rPr>
  </w:style>
  <w:style w:type="character" w:customStyle="1" w:styleId="30">
    <w:name w:val="文档结构图 字符"/>
    <w:basedOn w:val="19"/>
    <w:link w:val="6"/>
    <w:semiHidden/>
    <w:qFormat/>
    <w:uiPriority w:val="99"/>
    <w:rPr>
      <w:rFonts w:ascii="宋体" w:hAnsiTheme="minorHAnsi" w:cstheme="minorBidi"/>
      <w:kern w:val="2"/>
      <w:sz w:val="18"/>
      <w:szCs w:val="18"/>
    </w:rPr>
  </w:style>
  <w:style w:type="character" w:customStyle="1" w:styleId="31">
    <w:name w:val="批注文字 字符"/>
    <w:basedOn w:val="19"/>
    <w:link w:val="7"/>
    <w:semiHidden/>
    <w:qFormat/>
    <w:uiPriority w:val="99"/>
    <w:rPr>
      <w:rFonts w:asciiTheme="minorHAnsi" w:hAnsiTheme="minorHAnsi" w:eastAsiaTheme="minorEastAsia" w:cstheme="minorBidi"/>
      <w:kern w:val="2"/>
      <w:sz w:val="21"/>
      <w:szCs w:val="22"/>
    </w:rPr>
  </w:style>
  <w:style w:type="character" w:customStyle="1" w:styleId="32">
    <w:name w:val="批注主题 字符"/>
    <w:basedOn w:val="31"/>
    <w:link w:val="16"/>
    <w:semiHidden/>
    <w:qFormat/>
    <w:uiPriority w:val="99"/>
    <w:rPr>
      <w:rFonts w:asciiTheme="minorHAnsi" w:hAnsiTheme="minorHAnsi" w:eastAsiaTheme="minorEastAsia" w:cstheme="minorBidi"/>
      <w:b/>
      <w:bCs/>
      <w:kern w:val="2"/>
      <w:sz w:val="21"/>
      <w:szCs w:val="22"/>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9478</Words>
  <Characters>9765</Characters>
  <Lines>91</Lines>
  <Paragraphs>25</Paragraphs>
  <TotalTime>0</TotalTime>
  <ScaleCrop>false</ScaleCrop>
  <LinksUpToDate>false</LinksUpToDate>
  <CharactersWithSpaces>10859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Dazzle</cp:lastModifiedBy>
  <cp:lastPrinted>2023-01-13T03:11:00Z</cp:lastPrinted>
  <dcterms:modified xsi:type="dcterms:W3CDTF">2023-11-24T04:14:41Z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437544695_cloud</vt:lpwstr>
  </property>
  <property fmtid="{D5CDD505-2E9C-101B-9397-08002B2CF9AE}" pid="4" name="ICV">
    <vt:lpwstr>9C6C87B62DC34EAF91F019C24EE22216_13</vt:lpwstr>
  </property>
</Properties>
</file>